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9FF5" w14:textId="07CA8D58" w:rsidR="005A0249" w:rsidRDefault="00BE099E" w:rsidP="00CE4C86">
      <w:pPr>
        <w:jc w:val="both"/>
        <w:rPr>
          <w:rFonts w:ascii="Arial" w:hAnsi="Arial" w:cs="Arial"/>
          <w:sz w:val="20"/>
        </w:rPr>
      </w:pPr>
      <w:r>
        <w:rPr>
          <w:noProof/>
          <w:lang w:val="en-GB" w:eastAsia="en-GB"/>
        </w:rPr>
        <w:drawing>
          <wp:anchor distT="0" distB="0" distL="114300" distR="114300" simplePos="0" relativeHeight="251658240" behindDoc="1" locked="0" layoutInCell="1" allowOverlap="1" wp14:anchorId="141DB4AD" wp14:editId="6605CE5C">
            <wp:simplePos x="0" y="0"/>
            <wp:positionH relativeFrom="column">
              <wp:posOffset>3771900</wp:posOffset>
            </wp:positionH>
            <wp:positionV relativeFrom="paragraph">
              <wp:posOffset>-228600</wp:posOffset>
            </wp:positionV>
            <wp:extent cx="2057400" cy="1708150"/>
            <wp:effectExtent l="0" t="0" r="0" b="0"/>
            <wp:wrapTight wrapText="bothSides">
              <wp:wrapPolygon edited="0">
                <wp:start x="0" y="0"/>
                <wp:lineTo x="0" y="21439"/>
                <wp:lineTo x="21400" y="21439"/>
                <wp:lineTo x="21400" y="0"/>
                <wp:lineTo x="0" y="0"/>
              </wp:wrapPolygon>
            </wp:wrapTight>
            <wp:docPr id="2" name="Picture 2"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t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F9">
        <w:rPr>
          <w:rFonts w:ascii="Arial" w:hAnsi="Arial" w:cs="Arial"/>
          <w:sz w:val="20"/>
        </w:rPr>
        <w:t>HEALTH &amp; SAFETY</w:t>
      </w:r>
    </w:p>
    <w:p w14:paraId="21864D07" w14:textId="77777777" w:rsidR="005A0249" w:rsidRDefault="005A0249" w:rsidP="00CE4C86">
      <w:pPr>
        <w:jc w:val="both"/>
        <w:rPr>
          <w:rFonts w:ascii="Arial" w:hAnsi="Arial" w:cs="Arial"/>
          <w:sz w:val="20"/>
        </w:rPr>
      </w:pPr>
    </w:p>
    <w:p w14:paraId="3845C2E9" w14:textId="77777777" w:rsidR="005A0249" w:rsidRDefault="005A0249" w:rsidP="00CE4C86">
      <w:pPr>
        <w:jc w:val="both"/>
        <w:rPr>
          <w:rFonts w:ascii="Arial" w:hAnsi="Arial" w:cs="Arial"/>
          <w:sz w:val="20"/>
        </w:rPr>
      </w:pPr>
    </w:p>
    <w:p w14:paraId="6753356A" w14:textId="77777777" w:rsidR="005A0249" w:rsidRDefault="00000B2C" w:rsidP="00CE4C86">
      <w:pPr>
        <w:pStyle w:val="DocumentTitle"/>
        <w:rPr>
          <w:rFonts w:cs="Arial"/>
          <w:b w:val="0"/>
          <w:noProof/>
          <w:szCs w:val="36"/>
        </w:rPr>
      </w:pPr>
      <w:r>
        <w:rPr>
          <w:rFonts w:cs="Arial"/>
          <w:b w:val="0"/>
          <w:noProof/>
          <w:szCs w:val="36"/>
        </w:rPr>
        <w:t>Finger Protection Guidelines</w:t>
      </w:r>
    </w:p>
    <w:p w14:paraId="7E351C5D" w14:textId="77777777" w:rsidR="005A0249" w:rsidRDefault="005A0249" w:rsidP="00CE4C86">
      <w:pPr>
        <w:jc w:val="both"/>
        <w:rPr>
          <w:noProof/>
        </w:rPr>
      </w:pPr>
    </w:p>
    <w:p w14:paraId="568E1B76" w14:textId="77777777" w:rsidR="005A0249" w:rsidRDefault="005A0249" w:rsidP="00CE4C86">
      <w:pPr>
        <w:jc w:val="both"/>
        <w:rPr>
          <w:noProof/>
        </w:rPr>
      </w:pPr>
    </w:p>
    <w:p w14:paraId="24C06B7D" w14:textId="77777777" w:rsidR="005A0249" w:rsidRDefault="005A0249" w:rsidP="00CE4C86">
      <w:pPr>
        <w:jc w:val="both"/>
        <w:rPr>
          <w:noProof/>
        </w:rPr>
      </w:pPr>
    </w:p>
    <w:p w14:paraId="04E86A4A" w14:textId="77777777" w:rsidR="005A0249" w:rsidRDefault="005A0249" w:rsidP="00CE4C86">
      <w:pPr>
        <w:jc w:val="both"/>
        <w:rPr>
          <w:noProof/>
        </w:rPr>
      </w:pPr>
    </w:p>
    <w:p w14:paraId="63423E1F" w14:textId="77777777" w:rsidR="005A0249" w:rsidRDefault="005A0249" w:rsidP="00CE4C86">
      <w:pPr>
        <w:jc w:val="both"/>
        <w:rPr>
          <w:noProof/>
        </w:rPr>
      </w:pPr>
    </w:p>
    <w:p w14:paraId="7F560FA9" w14:textId="77777777" w:rsidR="005A0249" w:rsidRDefault="005A0249" w:rsidP="00CE4C86">
      <w:pPr>
        <w:jc w:val="both"/>
        <w:rPr>
          <w:noProof/>
        </w:rPr>
      </w:pPr>
    </w:p>
    <w:p w14:paraId="23A3D5E2" w14:textId="77777777" w:rsidR="005A0249" w:rsidRDefault="005A0249" w:rsidP="008742F9">
      <w:pPr>
        <w:pStyle w:val="TOC1"/>
      </w:pPr>
    </w:p>
    <w:p w14:paraId="66A81F30" w14:textId="77777777" w:rsidR="001C6B53" w:rsidRDefault="008742F9" w:rsidP="008742F9">
      <w:pPr>
        <w:pStyle w:val="TOC1"/>
      </w:pPr>
      <w:r>
        <w:t xml:space="preserve"> </w:t>
      </w:r>
      <w:r w:rsidR="005A0249">
        <w:fldChar w:fldCharType="begin"/>
      </w:r>
      <w:r w:rsidR="005A0249">
        <w:instrText xml:space="preserve"> TOC \o "1-3" \h \z \u </w:instrText>
      </w:r>
      <w:r w:rsidR="005A0249">
        <w:fldChar w:fldCharType="separate"/>
      </w:r>
    </w:p>
    <w:p w14:paraId="5AC170F8" w14:textId="75241445" w:rsidR="001C6B53" w:rsidRDefault="00BC30A5">
      <w:pPr>
        <w:pStyle w:val="TOC1"/>
        <w:tabs>
          <w:tab w:val="left" w:pos="440"/>
        </w:tabs>
        <w:rPr>
          <w:rFonts w:asciiTheme="minorHAnsi" w:eastAsiaTheme="minorEastAsia" w:hAnsiTheme="minorHAnsi" w:cstheme="minorBidi"/>
          <w:b w:val="0"/>
          <w:sz w:val="22"/>
          <w:szCs w:val="22"/>
        </w:rPr>
      </w:pPr>
      <w:hyperlink w:anchor="_Toc85196620" w:history="1">
        <w:r w:rsidR="001C6B53" w:rsidRPr="002625A7">
          <w:rPr>
            <w:rStyle w:val="Hyperlink"/>
          </w:rPr>
          <w:t>1.</w:t>
        </w:r>
        <w:r w:rsidR="001C6B53">
          <w:rPr>
            <w:rFonts w:asciiTheme="minorHAnsi" w:eastAsiaTheme="minorEastAsia" w:hAnsiTheme="minorHAnsi" w:cstheme="minorBidi"/>
            <w:b w:val="0"/>
            <w:sz w:val="22"/>
            <w:szCs w:val="22"/>
          </w:rPr>
          <w:tab/>
        </w:r>
        <w:r w:rsidR="001C6B53" w:rsidRPr="002625A7">
          <w:rPr>
            <w:rStyle w:val="Hyperlink"/>
          </w:rPr>
          <w:t>Introduction</w:t>
        </w:r>
        <w:r w:rsidR="001C6B53">
          <w:rPr>
            <w:webHidden/>
          </w:rPr>
          <w:tab/>
        </w:r>
        <w:r w:rsidR="001C6B53">
          <w:rPr>
            <w:webHidden/>
          </w:rPr>
          <w:fldChar w:fldCharType="begin"/>
        </w:r>
        <w:r w:rsidR="001C6B53">
          <w:rPr>
            <w:webHidden/>
          </w:rPr>
          <w:instrText xml:space="preserve"> PAGEREF _Toc85196620 \h </w:instrText>
        </w:r>
        <w:r w:rsidR="001C6B53">
          <w:rPr>
            <w:webHidden/>
          </w:rPr>
        </w:r>
        <w:r w:rsidR="001C6B53">
          <w:rPr>
            <w:webHidden/>
          </w:rPr>
          <w:fldChar w:fldCharType="separate"/>
        </w:r>
        <w:r w:rsidR="001C6B53">
          <w:rPr>
            <w:webHidden/>
          </w:rPr>
          <w:t>2</w:t>
        </w:r>
        <w:r w:rsidR="001C6B53">
          <w:rPr>
            <w:webHidden/>
          </w:rPr>
          <w:fldChar w:fldCharType="end"/>
        </w:r>
      </w:hyperlink>
    </w:p>
    <w:p w14:paraId="4A17AF96" w14:textId="059BEF64" w:rsidR="001C6B53" w:rsidRDefault="00BC30A5">
      <w:pPr>
        <w:pStyle w:val="TOC1"/>
        <w:tabs>
          <w:tab w:val="left" w:pos="440"/>
        </w:tabs>
        <w:rPr>
          <w:rFonts w:asciiTheme="minorHAnsi" w:eastAsiaTheme="minorEastAsia" w:hAnsiTheme="minorHAnsi" w:cstheme="minorBidi"/>
          <w:b w:val="0"/>
          <w:sz w:val="22"/>
          <w:szCs w:val="22"/>
        </w:rPr>
      </w:pPr>
      <w:hyperlink w:anchor="_Toc85196621" w:history="1">
        <w:r w:rsidR="001C6B53" w:rsidRPr="002625A7">
          <w:rPr>
            <w:rStyle w:val="Hyperlink"/>
          </w:rPr>
          <w:t>2.</w:t>
        </w:r>
        <w:r w:rsidR="001C6B53">
          <w:rPr>
            <w:rFonts w:asciiTheme="minorHAnsi" w:eastAsiaTheme="minorEastAsia" w:hAnsiTheme="minorHAnsi" w:cstheme="minorBidi"/>
            <w:b w:val="0"/>
            <w:sz w:val="22"/>
            <w:szCs w:val="22"/>
          </w:rPr>
          <w:tab/>
        </w:r>
        <w:r w:rsidR="001C6B53" w:rsidRPr="002625A7">
          <w:rPr>
            <w:rStyle w:val="Hyperlink"/>
          </w:rPr>
          <w:t>Scope</w:t>
        </w:r>
        <w:r w:rsidR="001C6B53">
          <w:rPr>
            <w:webHidden/>
          </w:rPr>
          <w:tab/>
        </w:r>
        <w:r w:rsidR="001C6B53">
          <w:rPr>
            <w:webHidden/>
          </w:rPr>
          <w:fldChar w:fldCharType="begin"/>
        </w:r>
        <w:r w:rsidR="001C6B53">
          <w:rPr>
            <w:webHidden/>
          </w:rPr>
          <w:instrText xml:space="preserve"> PAGEREF _Toc85196621 \h </w:instrText>
        </w:r>
        <w:r w:rsidR="001C6B53">
          <w:rPr>
            <w:webHidden/>
          </w:rPr>
        </w:r>
        <w:r w:rsidR="001C6B53">
          <w:rPr>
            <w:webHidden/>
          </w:rPr>
          <w:fldChar w:fldCharType="separate"/>
        </w:r>
        <w:r w:rsidR="001C6B53">
          <w:rPr>
            <w:webHidden/>
          </w:rPr>
          <w:t>2</w:t>
        </w:r>
        <w:r w:rsidR="001C6B53">
          <w:rPr>
            <w:webHidden/>
          </w:rPr>
          <w:fldChar w:fldCharType="end"/>
        </w:r>
      </w:hyperlink>
    </w:p>
    <w:p w14:paraId="09B7F100" w14:textId="599185F6" w:rsidR="001C6B53" w:rsidRDefault="00BC30A5">
      <w:pPr>
        <w:pStyle w:val="TOC1"/>
        <w:tabs>
          <w:tab w:val="left" w:pos="440"/>
        </w:tabs>
        <w:rPr>
          <w:rFonts w:asciiTheme="minorHAnsi" w:eastAsiaTheme="minorEastAsia" w:hAnsiTheme="minorHAnsi" w:cstheme="minorBidi"/>
          <w:b w:val="0"/>
          <w:sz w:val="22"/>
          <w:szCs w:val="22"/>
        </w:rPr>
      </w:pPr>
      <w:hyperlink w:anchor="_Toc85196622" w:history="1">
        <w:r w:rsidR="001C6B53" w:rsidRPr="002625A7">
          <w:rPr>
            <w:rStyle w:val="Hyperlink"/>
          </w:rPr>
          <w:t>3.</w:t>
        </w:r>
        <w:r w:rsidR="001C6B53">
          <w:rPr>
            <w:rFonts w:asciiTheme="minorHAnsi" w:eastAsiaTheme="minorEastAsia" w:hAnsiTheme="minorHAnsi" w:cstheme="minorBidi"/>
            <w:b w:val="0"/>
            <w:sz w:val="22"/>
            <w:szCs w:val="22"/>
          </w:rPr>
          <w:tab/>
        </w:r>
        <w:r w:rsidR="001C6B53" w:rsidRPr="002625A7">
          <w:rPr>
            <w:rStyle w:val="Hyperlink"/>
          </w:rPr>
          <w:t>Areas of Risk</w:t>
        </w:r>
        <w:r w:rsidR="001C6B53">
          <w:rPr>
            <w:webHidden/>
          </w:rPr>
          <w:tab/>
        </w:r>
        <w:r w:rsidR="001C6B53">
          <w:rPr>
            <w:webHidden/>
          </w:rPr>
          <w:fldChar w:fldCharType="begin"/>
        </w:r>
        <w:r w:rsidR="001C6B53">
          <w:rPr>
            <w:webHidden/>
          </w:rPr>
          <w:instrText xml:space="preserve"> PAGEREF _Toc85196622 \h </w:instrText>
        </w:r>
        <w:r w:rsidR="001C6B53">
          <w:rPr>
            <w:webHidden/>
          </w:rPr>
        </w:r>
        <w:r w:rsidR="001C6B53">
          <w:rPr>
            <w:webHidden/>
          </w:rPr>
          <w:fldChar w:fldCharType="separate"/>
        </w:r>
        <w:r w:rsidR="001C6B53">
          <w:rPr>
            <w:webHidden/>
          </w:rPr>
          <w:t>2</w:t>
        </w:r>
        <w:r w:rsidR="001C6B53">
          <w:rPr>
            <w:webHidden/>
          </w:rPr>
          <w:fldChar w:fldCharType="end"/>
        </w:r>
      </w:hyperlink>
    </w:p>
    <w:p w14:paraId="70A548DD" w14:textId="68D20375" w:rsidR="001C6B53" w:rsidRDefault="00BC30A5">
      <w:pPr>
        <w:pStyle w:val="TOC1"/>
        <w:tabs>
          <w:tab w:val="left" w:pos="440"/>
        </w:tabs>
        <w:rPr>
          <w:rFonts w:asciiTheme="minorHAnsi" w:eastAsiaTheme="minorEastAsia" w:hAnsiTheme="minorHAnsi" w:cstheme="minorBidi"/>
          <w:b w:val="0"/>
          <w:sz w:val="22"/>
          <w:szCs w:val="22"/>
        </w:rPr>
      </w:pPr>
      <w:hyperlink w:anchor="_Toc85196623" w:history="1">
        <w:r w:rsidR="001C6B53" w:rsidRPr="002625A7">
          <w:rPr>
            <w:rStyle w:val="Hyperlink"/>
          </w:rPr>
          <w:t>4.</w:t>
        </w:r>
        <w:r w:rsidR="001C6B53">
          <w:rPr>
            <w:rFonts w:asciiTheme="minorHAnsi" w:eastAsiaTheme="minorEastAsia" w:hAnsiTheme="minorHAnsi" w:cstheme="minorBidi"/>
            <w:b w:val="0"/>
            <w:sz w:val="22"/>
            <w:szCs w:val="22"/>
          </w:rPr>
          <w:tab/>
        </w:r>
        <w:r w:rsidR="001C6B53" w:rsidRPr="002625A7">
          <w:rPr>
            <w:rStyle w:val="Hyperlink"/>
          </w:rPr>
          <w:t>Action Required</w:t>
        </w:r>
        <w:r w:rsidR="001C6B53">
          <w:rPr>
            <w:webHidden/>
          </w:rPr>
          <w:tab/>
        </w:r>
        <w:r w:rsidR="001C6B53">
          <w:rPr>
            <w:webHidden/>
          </w:rPr>
          <w:fldChar w:fldCharType="begin"/>
        </w:r>
        <w:r w:rsidR="001C6B53">
          <w:rPr>
            <w:webHidden/>
          </w:rPr>
          <w:instrText xml:space="preserve"> PAGEREF _Toc85196623 \h </w:instrText>
        </w:r>
        <w:r w:rsidR="001C6B53">
          <w:rPr>
            <w:webHidden/>
          </w:rPr>
        </w:r>
        <w:r w:rsidR="001C6B53">
          <w:rPr>
            <w:webHidden/>
          </w:rPr>
          <w:fldChar w:fldCharType="separate"/>
        </w:r>
        <w:r w:rsidR="001C6B53">
          <w:rPr>
            <w:webHidden/>
          </w:rPr>
          <w:t>3</w:t>
        </w:r>
        <w:r w:rsidR="001C6B53">
          <w:rPr>
            <w:webHidden/>
          </w:rPr>
          <w:fldChar w:fldCharType="end"/>
        </w:r>
      </w:hyperlink>
    </w:p>
    <w:p w14:paraId="0FE94B83" w14:textId="58C215B4" w:rsidR="001C6B53" w:rsidRDefault="00BC30A5">
      <w:pPr>
        <w:pStyle w:val="TOC1"/>
        <w:tabs>
          <w:tab w:val="left" w:pos="440"/>
        </w:tabs>
        <w:rPr>
          <w:rFonts w:asciiTheme="minorHAnsi" w:eastAsiaTheme="minorEastAsia" w:hAnsiTheme="minorHAnsi" w:cstheme="minorBidi"/>
          <w:b w:val="0"/>
          <w:sz w:val="22"/>
          <w:szCs w:val="22"/>
        </w:rPr>
      </w:pPr>
      <w:hyperlink w:anchor="_Toc85196624" w:history="1">
        <w:r w:rsidR="001C6B53" w:rsidRPr="002625A7">
          <w:rPr>
            <w:rStyle w:val="Hyperlink"/>
          </w:rPr>
          <w:t>5.</w:t>
        </w:r>
        <w:r w:rsidR="001C6B53">
          <w:rPr>
            <w:rFonts w:asciiTheme="minorHAnsi" w:eastAsiaTheme="minorEastAsia" w:hAnsiTheme="minorHAnsi" w:cstheme="minorBidi"/>
            <w:b w:val="0"/>
            <w:sz w:val="22"/>
            <w:szCs w:val="22"/>
          </w:rPr>
          <w:tab/>
        </w:r>
        <w:r w:rsidR="001C6B53" w:rsidRPr="002625A7">
          <w:rPr>
            <w:rStyle w:val="Hyperlink"/>
          </w:rPr>
          <w:t>Risk Assessment</w:t>
        </w:r>
        <w:r w:rsidR="001C6B53">
          <w:rPr>
            <w:webHidden/>
          </w:rPr>
          <w:tab/>
        </w:r>
        <w:r w:rsidR="001C6B53">
          <w:rPr>
            <w:webHidden/>
          </w:rPr>
          <w:fldChar w:fldCharType="begin"/>
        </w:r>
        <w:r w:rsidR="001C6B53">
          <w:rPr>
            <w:webHidden/>
          </w:rPr>
          <w:instrText xml:space="preserve"> PAGEREF _Toc85196624 \h </w:instrText>
        </w:r>
        <w:r w:rsidR="001C6B53">
          <w:rPr>
            <w:webHidden/>
          </w:rPr>
        </w:r>
        <w:r w:rsidR="001C6B53">
          <w:rPr>
            <w:webHidden/>
          </w:rPr>
          <w:fldChar w:fldCharType="separate"/>
        </w:r>
        <w:r w:rsidR="001C6B53">
          <w:rPr>
            <w:webHidden/>
          </w:rPr>
          <w:t>3</w:t>
        </w:r>
        <w:r w:rsidR="001C6B53">
          <w:rPr>
            <w:webHidden/>
          </w:rPr>
          <w:fldChar w:fldCharType="end"/>
        </w:r>
      </w:hyperlink>
    </w:p>
    <w:p w14:paraId="04029292" w14:textId="14C7E465" w:rsidR="001C6B53" w:rsidRDefault="00BC30A5">
      <w:pPr>
        <w:pStyle w:val="TOC1"/>
        <w:tabs>
          <w:tab w:val="left" w:pos="440"/>
        </w:tabs>
        <w:rPr>
          <w:rFonts w:asciiTheme="minorHAnsi" w:eastAsiaTheme="minorEastAsia" w:hAnsiTheme="minorHAnsi" w:cstheme="minorBidi"/>
          <w:b w:val="0"/>
          <w:sz w:val="22"/>
          <w:szCs w:val="22"/>
        </w:rPr>
      </w:pPr>
      <w:hyperlink w:anchor="_Toc85196625" w:history="1">
        <w:r w:rsidR="001C6B53" w:rsidRPr="002625A7">
          <w:rPr>
            <w:rStyle w:val="Hyperlink"/>
          </w:rPr>
          <w:t>6.</w:t>
        </w:r>
        <w:r w:rsidR="001C6B53">
          <w:rPr>
            <w:rFonts w:asciiTheme="minorHAnsi" w:eastAsiaTheme="minorEastAsia" w:hAnsiTheme="minorHAnsi" w:cstheme="minorBidi"/>
            <w:b w:val="0"/>
            <w:sz w:val="22"/>
            <w:szCs w:val="22"/>
          </w:rPr>
          <w:tab/>
        </w:r>
        <w:r w:rsidR="001C6B53" w:rsidRPr="002625A7">
          <w:rPr>
            <w:rStyle w:val="Hyperlink"/>
          </w:rPr>
          <w:t>Types</w:t>
        </w:r>
        <w:r w:rsidR="001C6B53">
          <w:rPr>
            <w:webHidden/>
          </w:rPr>
          <w:tab/>
        </w:r>
        <w:r w:rsidR="001C6B53">
          <w:rPr>
            <w:webHidden/>
          </w:rPr>
          <w:fldChar w:fldCharType="begin"/>
        </w:r>
        <w:r w:rsidR="001C6B53">
          <w:rPr>
            <w:webHidden/>
          </w:rPr>
          <w:instrText xml:space="preserve"> PAGEREF _Toc85196625 \h </w:instrText>
        </w:r>
        <w:r w:rsidR="001C6B53">
          <w:rPr>
            <w:webHidden/>
          </w:rPr>
        </w:r>
        <w:r w:rsidR="001C6B53">
          <w:rPr>
            <w:webHidden/>
          </w:rPr>
          <w:fldChar w:fldCharType="separate"/>
        </w:r>
        <w:r w:rsidR="001C6B53">
          <w:rPr>
            <w:webHidden/>
          </w:rPr>
          <w:t>4</w:t>
        </w:r>
        <w:r w:rsidR="001C6B53">
          <w:rPr>
            <w:webHidden/>
          </w:rPr>
          <w:fldChar w:fldCharType="end"/>
        </w:r>
      </w:hyperlink>
    </w:p>
    <w:p w14:paraId="71BDA46E" w14:textId="746D48A2" w:rsidR="001C6B53" w:rsidRDefault="00BC30A5">
      <w:pPr>
        <w:pStyle w:val="TOC1"/>
        <w:tabs>
          <w:tab w:val="left" w:pos="440"/>
        </w:tabs>
        <w:rPr>
          <w:rFonts w:asciiTheme="minorHAnsi" w:eastAsiaTheme="minorEastAsia" w:hAnsiTheme="minorHAnsi" w:cstheme="minorBidi"/>
          <w:b w:val="0"/>
          <w:sz w:val="22"/>
          <w:szCs w:val="22"/>
        </w:rPr>
      </w:pPr>
      <w:hyperlink w:anchor="_Toc85196626" w:history="1">
        <w:r w:rsidR="001C6B53" w:rsidRPr="002625A7">
          <w:rPr>
            <w:rStyle w:val="Hyperlink"/>
          </w:rPr>
          <w:t>7.</w:t>
        </w:r>
        <w:r w:rsidR="001C6B53">
          <w:rPr>
            <w:rFonts w:asciiTheme="minorHAnsi" w:eastAsiaTheme="minorEastAsia" w:hAnsiTheme="minorHAnsi" w:cstheme="minorBidi"/>
            <w:b w:val="0"/>
            <w:sz w:val="22"/>
            <w:szCs w:val="22"/>
          </w:rPr>
          <w:tab/>
        </w:r>
        <w:r w:rsidR="001C6B53" w:rsidRPr="002625A7">
          <w:rPr>
            <w:rStyle w:val="Hyperlink"/>
          </w:rPr>
          <w:t>Before Ordering</w:t>
        </w:r>
        <w:r w:rsidR="001C6B53">
          <w:rPr>
            <w:webHidden/>
          </w:rPr>
          <w:tab/>
        </w:r>
        <w:r w:rsidR="001C6B53">
          <w:rPr>
            <w:webHidden/>
          </w:rPr>
          <w:fldChar w:fldCharType="begin"/>
        </w:r>
        <w:r w:rsidR="001C6B53">
          <w:rPr>
            <w:webHidden/>
          </w:rPr>
          <w:instrText xml:space="preserve"> PAGEREF _Toc85196626 \h </w:instrText>
        </w:r>
        <w:r w:rsidR="001C6B53">
          <w:rPr>
            <w:webHidden/>
          </w:rPr>
        </w:r>
        <w:r w:rsidR="001C6B53">
          <w:rPr>
            <w:webHidden/>
          </w:rPr>
          <w:fldChar w:fldCharType="separate"/>
        </w:r>
        <w:r w:rsidR="001C6B53">
          <w:rPr>
            <w:webHidden/>
          </w:rPr>
          <w:t>4</w:t>
        </w:r>
        <w:r w:rsidR="001C6B53">
          <w:rPr>
            <w:webHidden/>
          </w:rPr>
          <w:fldChar w:fldCharType="end"/>
        </w:r>
      </w:hyperlink>
    </w:p>
    <w:p w14:paraId="135A1569" w14:textId="029A4684" w:rsidR="001C6B53" w:rsidRDefault="00BC30A5">
      <w:pPr>
        <w:pStyle w:val="TOC1"/>
        <w:tabs>
          <w:tab w:val="left" w:pos="440"/>
        </w:tabs>
        <w:rPr>
          <w:rFonts w:asciiTheme="minorHAnsi" w:eastAsiaTheme="minorEastAsia" w:hAnsiTheme="minorHAnsi" w:cstheme="minorBidi"/>
          <w:b w:val="0"/>
          <w:sz w:val="22"/>
          <w:szCs w:val="22"/>
        </w:rPr>
      </w:pPr>
      <w:hyperlink w:anchor="_Toc85196627" w:history="1">
        <w:r w:rsidR="001C6B53" w:rsidRPr="002625A7">
          <w:rPr>
            <w:rStyle w:val="Hyperlink"/>
          </w:rPr>
          <w:t>8.</w:t>
        </w:r>
        <w:r w:rsidR="001C6B53">
          <w:rPr>
            <w:rFonts w:asciiTheme="minorHAnsi" w:eastAsiaTheme="minorEastAsia" w:hAnsiTheme="minorHAnsi" w:cstheme="minorBidi"/>
            <w:b w:val="0"/>
            <w:sz w:val="22"/>
            <w:szCs w:val="22"/>
          </w:rPr>
          <w:tab/>
        </w:r>
        <w:r w:rsidR="001C6B53" w:rsidRPr="002625A7">
          <w:rPr>
            <w:rStyle w:val="Hyperlink"/>
          </w:rPr>
          <w:t>Checks after Installation</w:t>
        </w:r>
        <w:r w:rsidR="001C6B53">
          <w:rPr>
            <w:webHidden/>
          </w:rPr>
          <w:tab/>
        </w:r>
        <w:r w:rsidR="001C6B53">
          <w:rPr>
            <w:webHidden/>
          </w:rPr>
          <w:fldChar w:fldCharType="begin"/>
        </w:r>
        <w:r w:rsidR="001C6B53">
          <w:rPr>
            <w:webHidden/>
          </w:rPr>
          <w:instrText xml:space="preserve"> PAGEREF _Toc85196627 \h </w:instrText>
        </w:r>
        <w:r w:rsidR="001C6B53">
          <w:rPr>
            <w:webHidden/>
          </w:rPr>
        </w:r>
        <w:r w:rsidR="001C6B53">
          <w:rPr>
            <w:webHidden/>
          </w:rPr>
          <w:fldChar w:fldCharType="separate"/>
        </w:r>
        <w:r w:rsidR="001C6B53">
          <w:rPr>
            <w:webHidden/>
          </w:rPr>
          <w:t>4</w:t>
        </w:r>
        <w:r w:rsidR="001C6B53">
          <w:rPr>
            <w:webHidden/>
          </w:rPr>
          <w:fldChar w:fldCharType="end"/>
        </w:r>
      </w:hyperlink>
    </w:p>
    <w:p w14:paraId="01F423F5" w14:textId="58ED2166" w:rsidR="001C6B53" w:rsidRDefault="00BC30A5">
      <w:pPr>
        <w:pStyle w:val="TOC1"/>
        <w:tabs>
          <w:tab w:val="left" w:pos="440"/>
        </w:tabs>
        <w:rPr>
          <w:rFonts w:asciiTheme="minorHAnsi" w:eastAsiaTheme="minorEastAsia" w:hAnsiTheme="minorHAnsi" w:cstheme="minorBidi"/>
          <w:b w:val="0"/>
          <w:sz w:val="22"/>
          <w:szCs w:val="22"/>
        </w:rPr>
      </w:pPr>
      <w:hyperlink w:anchor="_Toc85196628" w:history="1">
        <w:r w:rsidR="001C6B53" w:rsidRPr="002625A7">
          <w:rPr>
            <w:rStyle w:val="Hyperlink"/>
          </w:rPr>
          <w:t>9.</w:t>
        </w:r>
        <w:r w:rsidR="001C6B53">
          <w:rPr>
            <w:rFonts w:asciiTheme="minorHAnsi" w:eastAsiaTheme="minorEastAsia" w:hAnsiTheme="minorHAnsi" w:cstheme="minorBidi"/>
            <w:b w:val="0"/>
            <w:sz w:val="22"/>
            <w:szCs w:val="22"/>
          </w:rPr>
          <w:tab/>
        </w:r>
        <w:r w:rsidR="001C6B53" w:rsidRPr="002625A7">
          <w:rPr>
            <w:rStyle w:val="Hyperlink"/>
          </w:rPr>
          <w:t>Purchasing</w:t>
        </w:r>
        <w:r w:rsidR="001C6B53">
          <w:rPr>
            <w:webHidden/>
          </w:rPr>
          <w:tab/>
        </w:r>
        <w:r w:rsidR="001C6B53">
          <w:rPr>
            <w:webHidden/>
          </w:rPr>
          <w:fldChar w:fldCharType="begin"/>
        </w:r>
        <w:r w:rsidR="001C6B53">
          <w:rPr>
            <w:webHidden/>
          </w:rPr>
          <w:instrText xml:space="preserve"> PAGEREF _Toc85196628 \h </w:instrText>
        </w:r>
        <w:r w:rsidR="001C6B53">
          <w:rPr>
            <w:webHidden/>
          </w:rPr>
        </w:r>
        <w:r w:rsidR="001C6B53">
          <w:rPr>
            <w:webHidden/>
          </w:rPr>
          <w:fldChar w:fldCharType="separate"/>
        </w:r>
        <w:r w:rsidR="001C6B53">
          <w:rPr>
            <w:webHidden/>
          </w:rPr>
          <w:t>5</w:t>
        </w:r>
        <w:r w:rsidR="001C6B53">
          <w:rPr>
            <w:webHidden/>
          </w:rPr>
          <w:fldChar w:fldCharType="end"/>
        </w:r>
      </w:hyperlink>
    </w:p>
    <w:p w14:paraId="0E141412" w14:textId="319BF28C" w:rsidR="001C6B53" w:rsidRDefault="00BC30A5">
      <w:pPr>
        <w:pStyle w:val="TOC1"/>
        <w:tabs>
          <w:tab w:val="left" w:pos="660"/>
        </w:tabs>
        <w:rPr>
          <w:rFonts w:asciiTheme="minorHAnsi" w:eastAsiaTheme="minorEastAsia" w:hAnsiTheme="minorHAnsi" w:cstheme="minorBidi"/>
          <w:b w:val="0"/>
          <w:sz w:val="22"/>
          <w:szCs w:val="22"/>
        </w:rPr>
      </w:pPr>
      <w:hyperlink w:anchor="_Toc85196629" w:history="1">
        <w:r w:rsidR="001C6B53" w:rsidRPr="002625A7">
          <w:rPr>
            <w:rStyle w:val="Hyperlink"/>
          </w:rPr>
          <w:t>10.</w:t>
        </w:r>
        <w:r w:rsidR="001C6B53">
          <w:rPr>
            <w:rFonts w:asciiTheme="minorHAnsi" w:eastAsiaTheme="minorEastAsia" w:hAnsiTheme="minorHAnsi" w:cstheme="minorBidi"/>
            <w:b w:val="0"/>
            <w:sz w:val="22"/>
            <w:szCs w:val="22"/>
          </w:rPr>
          <w:tab/>
        </w:r>
        <w:r w:rsidR="001C6B53" w:rsidRPr="002625A7">
          <w:rPr>
            <w:rStyle w:val="Hyperlink"/>
          </w:rPr>
          <w:t>Version Control</w:t>
        </w:r>
        <w:r w:rsidR="001C6B53">
          <w:rPr>
            <w:webHidden/>
          </w:rPr>
          <w:tab/>
        </w:r>
        <w:r w:rsidR="001C6B53">
          <w:rPr>
            <w:webHidden/>
          </w:rPr>
          <w:fldChar w:fldCharType="begin"/>
        </w:r>
        <w:r w:rsidR="001C6B53">
          <w:rPr>
            <w:webHidden/>
          </w:rPr>
          <w:instrText xml:space="preserve"> PAGEREF _Toc85196629 \h </w:instrText>
        </w:r>
        <w:r w:rsidR="001C6B53">
          <w:rPr>
            <w:webHidden/>
          </w:rPr>
        </w:r>
        <w:r w:rsidR="001C6B53">
          <w:rPr>
            <w:webHidden/>
          </w:rPr>
          <w:fldChar w:fldCharType="separate"/>
        </w:r>
        <w:r w:rsidR="001C6B53">
          <w:rPr>
            <w:webHidden/>
          </w:rPr>
          <w:t>5</w:t>
        </w:r>
        <w:r w:rsidR="001C6B53">
          <w:rPr>
            <w:webHidden/>
          </w:rPr>
          <w:fldChar w:fldCharType="end"/>
        </w:r>
      </w:hyperlink>
    </w:p>
    <w:p w14:paraId="028B1FFB" w14:textId="77777777" w:rsidR="00A400F6" w:rsidRDefault="005A0249" w:rsidP="008742F9">
      <w:pPr>
        <w:pStyle w:val="TOC1"/>
      </w:pPr>
      <w:r>
        <w:fldChar w:fldCharType="end"/>
      </w:r>
    </w:p>
    <w:p w14:paraId="2E568221" w14:textId="77777777" w:rsidR="005A0249" w:rsidRDefault="005A0249" w:rsidP="00CE4C86">
      <w:pPr>
        <w:jc w:val="both"/>
        <w:rPr>
          <w:noProof/>
        </w:rPr>
      </w:pPr>
    </w:p>
    <w:p w14:paraId="47CAEA55" w14:textId="77777777" w:rsidR="005A0249" w:rsidRPr="00F30986" w:rsidRDefault="005A0249" w:rsidP="00F30986">
      <w:pPr>
        <w:jc w:val="center"/>
        <w:rPr>
          <w:rStyle w:val="Emphasis"/>
          <w:rFonts w:ascii="Arial" w:hAnsi="Arial" w:cs="Arial"/>
          <w:b/>
          <w:i w:val="0"/>
          <w:sz w:val="28"/>
          <w:szCs w:val="28"/>
        </w:rPr>
      </w:pPr>
    </w:p>
    <w:p w14:paraId="7C22D9A6" w14:textId="77777777" w:rsidR="00A400F6" w:rsidRPr="00F30986" w:rsidRDefault="005A0249" w:rsidP="00F30986">
      <w:pPr>
        <w:jc w:val="center"/>
        <w:rPr>
          <w:rStyle w:val="Emphasis"/>
          <w:rFonts w:ascii="Arial" w:hAnsi="Arial" w:cs="Arial"/>
          <w:b/>
          <w:i w:val="0"/>
          <w:sz w:val="28"/>
          <w:szCs w:val="28"/>
        </w:rPr>
      </w:pPr>
      <w:r w:rsidRPr="00F30986">
        <w:rPr>
          <w:rStyle w:val="Emphasis"/>
          <w:rFonts w:ascii="Arial" w:hAnsi="Arial" w:cs="Arial"/>
          <w:b/>
          <w:i w:val="0"/>
          <w:sz w:val="28"/>
          <w:szCs w:val="28"/>
        </w:rPr>
        <w:lastRenderedPageBreak/>
        <w:t>F</w:t>
      </w:r>
      <w:r w:rsidR="00434396" w:rsidRPr="00F30986">
        <w:rPr>
          <w:rStyle w:val="Emphasis"/>
          <w:rFonts w:ascii="Arial" w:hAnsi="Arial" w:cs="Arial"/>
          <w:b/>
          <w:i w:val="0"/>
          <w:sz w:val="28"/>
          <w:szCs w:val="28"/>
        </w:rPr>
        <w:t>inger Protection at Doors</w:t>
      </w:r>
    </w:p>
    <w:p w14:paraId="6004AAB7" w14:textId="77777777" w:rsidR="00A400F6" w:rsidRPr="00434396" w:rsidRDefault="00A400F6" w:rsidP="00CE4C86">
      <w:pPr>
        <w:jc w:val="both"/>
        <w:rPr>
          <w:rFonts w:ascii="Arial" w:hAnsi="Arial" w:cs="Arial"/>
          <w:lang w:val="en-GB"/>
        </w:rPr>
      </w:pPr>
    </w:p>
    <w:p w14:paraId="2E162099" w14:textId="77777777" w:rsidR="00434396" w:rsidRPr="000A7C27" w:rsidRDefault="00434396" w:rsidP="00D221EC">
      <w:pPr>
        <w:pStyle w:val="Heading1"/>
        <w:numPr>
          <w:ilvl w:val="0"/>
          <w:numId w:val="9"/>
        </w:numPr>
        <w:rPr>
          <w:rFonts w:ascii="Arial" w:hAnsi="Arial" w:cs="Arial"/>
          <w:sz w:val="24"/>
          <w:szCs w:val="24"/>
          <w:lang w:val="en-GB"/>
        </w:rPr>
      </w:pPr>
      <w:bookmarkStart w:id="0" w:name="_Toc85196620"/>
      <w:r w:rsidRPr="000A7C27">
        <w:rPr>
          <w:rFonts w:ascii="Arial" w:hAnsi="Arial" w:cs="Arial"/>
          <w:sz w:val="24"/>
          <w:szCs w:val="24"/>
          <w:lang w:val="en-GB"/>
        </w:rPr>
        <w:t>Introduction</w:t>
      </w:r>
      <w:bookmarkEnd w:id="0"/>
    </w:p>
    <w:p w14:paraId="21ED5990" w14:textId="77777777" w:rsidR="00434396" w:rsidRDefault="00434396" w:rsidP="00CE4C86">
      <w:pPr>
        <w:jc w:val="both"/>
        <w:rPr>
          <w:rFonts w:ascii="Arial" w:hAnsi="Arial" w:cs="Arial"/>
          <w:lang w:val="en-GB"/>
        </w:rPr>
      </w:pPr>
    </w:p>
    <w:p w14:paraId="2991A3D5" w14:textId="77777777" w:rsidR="00A400F6" w:rsidRPr="00434396" w:rsidRDefault="00A400F6" w:rsidP="00CE4C86">
      <w:pPr>
        <w:jc w:val="both"/>
        <w:rPr>
          <w:rFonts w:ascii="Arial" w:hAnsi="Arial" w:cs="Arial"/>
          <w:lang w:val="en-GB"/>
        </w:rPr>
      </w:pPr>
      <w:r w:rsidRPr="00434396">
        <w:rPr>
          <w:rFonts w:ascii="Arial" w:hAnsi="Arial" w:cs="Arial"/>
          <w:lang w:val="en-GB"/>
        </w:rPr>
        <w:t xml:space="preserve">This </w:t>
      </w:r>
      <w:r w:rsidR="001724F8">
        <w:rPr>
          <w:rFonts w:ascii="Arial" w:hAnsi="Arial" w:cs="Arial"/>
          <w:lang w:val="en-GB"/>
        </w:rPr>
        <w:t xml:space="preserve">guidance relates to </w:t>
      </w:r>
      <w:r w:rsidRPr="00434396">
        <w:rPr>
          <w:rFonts w:ascii="Arial" w:hAnsi="Arial" w:cs="Arial"/>
          <w:lang w:val="en-GB"/>
        </w:rPr>
        <w:t>devices for preventing finger accidents at the crushing areas between the hinged sides of doors and their frames</w:t>
      </w:r>
      <w:r w:rsidR="00523A56">
        <w:rPr>
          <w:rFonts w:ascii="Arial" w:hAnsi="Arial" w:cs="Arial"/>
          <w:lang w:val="en-GB"/>
        </w:rPr>
        <w:t xml:space="preserve"> and </w:t>
      </w:r>
      <w:r w:rsidRPr="00434396">
        <w:rPr>
          <w:rFonts w:ascii="Arial" w:hAnsi="Arial" w:cs="Arial"/>
          <w:lang w:val="en-GB"/>
        </w:rPr>
        <w:t xml:space="preserve">is particularly relevant </w:t>
      </w:r>
      <w:r w:rsidR="00523A56">
        <w:rPr>
          <w:rFonts w:ascii="Arial" w:hAnsi="Arial" w:cs="Arial"/>
          <w:lang w:val="en-GB"/>
        </w:rPr>
        <w:t>to</w:t>
      </w:r>
      <w:r w:rsidRPr="00434396">
        <w:rPr>
          <w:rFonts w:ascii="Arial" w:hAnsi="Arial" w:cs="Arial"/>
          <w:lang w:val="en-GB"/>
        </w:rPr>
        <w:t xml:space="preserve"> nurseries, primary schools and special schools. It may also be relevant for secondary schools where risk assessment identifies doors which pose a significant risk of injury because of their design, location, </w:t>
      </w:r>
      <w:r w:rsidR="00000B2C" w:rsidRPr="00434396">
        <w:rPr>
          <w:rFonts w:ascii="Arial" w:hAnsi="Arial" w:cs="Arial"/>
          <w:lang w:val="en-GB"/>
        </w:rPr>
        <w:t>and frequency</w:t>
      </w:r>
      <w:r w:rsidRPr="00434396">
        <w:rPr>
          <w:rFonts w:ascii="Arial" w:hAnsi="Arial" w:cs="Arial"/>
          <w:lang w:val="en-GB"/>
        </w:rPr>
        <w:t xml:space="preserve"> of use or types of user. </w:t>
      </w:r>
    </w:p>
    <w:p w14:paraId="7BFE7B93" w14:textId="34F177A5" w:rsidR="00D669C9" w:rsidRPr="00434396" w:rsidRDefault="00D669C9" w:rsidP="00CE4C86">
      <w:pPr>
        <w:jc w:val="both"/>
        <w:rPr>
          <w:rFonts w:ascii="Arial" w:hAnsi="Arial" w:cs="Arial"/>
          <w:lang w:val="en-GB"/>
        </w:rPr>
      </w:pPr>
    </w:p>
    <w:p w14:paraId="647AAB32" w14:textId="77777777" w:rsidR="00434396" w:rsidRPr="000A7C27" w:rsidRDefault="005A0249" w:rsidP="00D221EC">
      <w:pPr>
        <w:pStyle w:val="Heading1"/>
        <w:numPr>
          <w:ilvl w:val="0"/>
          <w:numId w:val="9"/>
        </w:numPr>
        <w:rPr>
          <w:rFonts w:ascii="Arial" w:hAnsi="Arial" w:cs="Arial"/>
          <w:sz w:val="24"/>
          <w:szCs w:val="24"/>
          <w:lang w:val="en-GB"/>
        </w:rPr>
      </w:pPr>
      <w:bookmarkStart w:id="1" w:name="_Toc85196621"/>
      <w:r w:rsidRPr="000A7C27">
        <w:rPr>
          <w:rFonts w:ascii="Arial" w:hAnsi="Arial" w:cs="Arial"/>
          <w:sz w:val="24"/>
          <w:szCs w:val="24"/>
          <w:lang w:val="en-GB"/>
        </w:rPr>
        <w:t>S</w:t>
      </w:r>
      <w:r w:rsidR="00434396" w:rsidRPr="000A7C27">
        <w:rPr>
          <w:rFonts w:ascii="Arial" w:hAnsi="Arial" w:cs="Arial"/>
          <w:sz w:val="24"/>
          <w:szCs w:val="24"/>
          <w:lang w:val="en-GB"/>
        </w:rPr>
        <w:t>cope</w:t>
      </w:r>
      <w:bookmarkEnd w:id="1"/>
    </w:p>
    <w:p w14:paraId="51068E9B" w14:textId="77777777" w:rsidR="00434396" w:rsidRDefault="00434396" w:rsidP="00CE4C86">
      <w:pPr>
        <w:jc w:val="both"/>
        <w:rPr>
          <w:rFonts w:ascii="Arial" w:hAnsi="Arial" w:cs="Arial"/>
          <w:lang w:val="en-GB"/>
        </w:rPr>
      </w:pPr>
    </w:p>
    <w:p w14:paraId="0399AA4D" w14:textId="12BCDA6E" w:rsidR="0004366E" w:rsidRDefault="00D221EC" w:rsidP="00D221EC">
      <w:pPr>
        <w:shd w:val="clear" w:color="auto" w:fill="FFFFFF"/>
        <w:spacing w:after="150"/>
        <w:jc w:val="both"/>
        <w:rPr>
          <w:rFonts w:ascii="Arial" w:hAnsi="Arial" w:cs="Arial"/>
          <w:lang w:val="en-GB"/>
        </w:rPr>
      </w:pPr>
      <w:r w:rsidRPr="001F2E35">
        <w:rPr>
          <w:rFonts w:ascii="Arial" w:hAnsi="Arial" w:cs="Arial"/>
          <w:lang w:val="en-GB"/>
        </w:rPr>
        <w:t>When a door closes into its frame there are various points at which fingers may become trapped.</w:t>
      </w:r>
      <w:r>
        <w:rPr>
          <w:rFonts w:ascii="Arial" w:hAnsi="Arial" w:cs="Arial"/>
          <w:lang w:val="en-GB"/>
        </w:rPr>
        <w:t xml:space="preserve"> </w:t>
      </w:r>
      <w:r w:rsidR="00A400F6" w:rsidRPr="00434396">
        <w:rPr>
          <w:rFonts w:ascii="Arial" w:hAnsi="Arial" w:cs="Arial"/>
          <w:lang w:val="en-GB"/>
        </w:rPr>
        <w:t>Although finger accidents at doors do not occur frequently, they can be very distressing and result in permanent injury</w:t>
      </w:r>
      <w:r w:rsidR="00D669C9">
        <w:rPr>
          <w:rFonts w:ascii="Arial" w:hAnsi="Arial" w:cs="Arial"/>
          <w:lang w:val="en-GB"/>
        </w:rPr>
        <w:t>, including amputation in the most severe cases</w:t>
      </w:r>
      <w:r w:rsidR="00A400F6" w:rsidRPr="00434396">
        <w:rPr>
          <w:rFonts w:ascii="Arial" w:hAnsi="Arial" w:cs="Arial"/>
          <w:lang w:val="en-GB"/>
        </w:rPr>
        <w:t xml:space="preserve">. However, such accidents can be easily prevented by fitting doors with simple plastic devices which prevent access to the crushing areas. </w:t>
      </w:r>
    </w:p>
    <w:p w14:paraId="39270538" w14:textId="77777777" w:rsidR="0004366E" w:rsidRDefault="0004366E" w:rsidP="00CE4C86">
      <w:pPr>
        <w:jc w:val="both"/>
        <w:rPr>
          <w:rFonts w:ascii="Arial" w:hAnsi="Arial" w:cs="Arial"/>
          <w:lang w:val="en-GB"/>
        </w:rPr>
      </w:pPr>
    </w:p>
    <w:p w14:paraId="2900067E" w14:textId="77777777" w:rsidR="00434396" w:rsidRDefault="0004366E" w:rsidP="00CE4C86">
      <w:pPr>
        <w:jc w:val="both"/>
        <w:rPr>
          <w:rFonts w:ascii="Arial" w:hAnsi="Arial" w:cs="Arial"/>
          <w:lang w:val="en-GB"/>
        </w:rPr>
      </w:pPr>
      <w:r>
        <w:rPr>
          <w:rFonts w:ascii="Arial" w:hAnsi="Arial" w:cs="Arial"/>
          <w:lang w:val="en-GB"/>
        </w:rPr>
        <w:t>Account should be taken of:</w:t>
      </w:r>
    </w:p>
    <w:p w14:paraId="0105DEC1" w14:textId="77777777" w:rsidR="0004366E" w:rsidRDefault="0004366E" w:rsidP="0004366E">
      <w:pPr>
        <w:widowControl/>
        <w:autoSpaceDE w:val="0"/>
        <w:autoSpaceDN w:val="0"/>
        <w:adjustRightInd w:val="0"/>
        <w:rPr>
          <w:rFonts w:ascii="Arial" w:hAnsi="Arial" w:cs="Arial"/>
          <w:snapToGrid/>
          <w:szCs w:val="24"/>
          <w:lang w:val="en-GB" w:eastAsia="en-GB"/>
        </w:rPr>
      </w:pPr>
    </w:p>
    <w:p w14:paraId="593F3075" w14:textId="77777777" w:rsidR="0004366E" w:rsidRDefault="0004366E" w:rsidP="0004366E">
      <w:pPr>
        <w:widowControl/>
        <w:numPr>
          <w:ilvl w:val="0"/>
          <w:numId w:val="7"/>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It is reasonable to assume that those of ‘early years’ group, or younger, are at greatest risk. The provision of suitable self-closers and / or hinge protection devices is therefore recommended in all nursery and reception class areas.</w:t>
      </w:r>
    </w:p>
    <w:p w14:paraId="1B5535DD" w14:textId="77777777" w:rsidR="00D669C9" w:rsidRDefault="00D669C9" w:rsidP="00D669C9">
      <w:pPr>
        <w:widowControl/>
        <w:autoSpaceDE w:val="0"/>
        <w:autoSpaceDN w:val="0"/>
        <w:adjustRightInd w:val="0"/>
        <w:ind w:left="720"/>
        <w:jc w:val="both"/>
        <w:rPr>
          <w:rFonts w:ascii="Arial" w:hAnsi="Arial" w:cs="Arial"/>
          <w:snapToGrid/>
          <w:szCs w:val="24"/>
          <w:lang w:val="en-GB" w:eastAsia="en-GB"/>
        </w:rPr>
      </w:pPr>
    </w:p>
    <w:p w14:paraId="6832E7FF" w14:textId="61DDF6E2" w:rsidR="0004366E" w:rsidRDefault="0004366E" w:rsidP="0004366E">
      <w:pPr>
        <w:widowControl/>
        <w:numPr>
          <w:ilvl w:val="0"/>
          <w:numId w:val="7"/>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When planning accommodation extension / re-modelling / re-furbishing projects the need for door safety devices should be considered at an early design stage to ensure that doors and devices are compatible and suitable for the application;</w:t>
      </w:r>
    </w:p>
    <w:p w14:paraId="20485AC9" w14:textId="77777777" w:rsidR="00D669C9" w:rsidRDefault="00D669C9" w:rsidP="00D669C9">
      <w:pPr>
        <w:widowControl/>
        <w:autoSpaceDE w:val="0"/>
        <w:autoSpaceDN w:val="0"/>
        <w:adjustRightInd w:val="0"/>
        <w:ind w:left="720"/>
        <w:jc w:val="both"/>
        <w:rPr>
          <w:rFonts w:ascii="Arial" w:hAnsi="Arial" w:cs="Arial"/>
          <w:snapToGrid/>
          <w:szCs w:val="24"/>
          <w:lang w:val="en-GB" w:eastAsia="en-GB"/>
        </w:rPr>
      </w:pPr>
    </w:p>
    <w:p w14:paraId="03FB11BC" w14:textId="3AC7DBCF" w:rsidR="0004366E" w:rsidRDefault="0004366E" w:rsidP="0004366E">
      <w:pPr>
        <w:widowControl/>
        <w:numPr>
          <w:ilvl w:val="0"/>
          <w:numId w:val="7"/>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Where existing doors are being considered it should be noted that not all types of doors will accommodate such devices and it is therefore important to take appropriate specialist advice; and</w:t>
      </w:r>
    </w:p>
    <w:p w14:paraId="27A23DAC" w14:textId="77777777" w:rsidR="00D669C9" w:rsidRDefault="00D669C9" w:rsidP="00D669C9">
      <w:pPr>
        <w:widowControl/>
        <w:autoSpaceDE w:val="0"/>
        <w:autoSpaceDN w:val="0"/>
        <w:adjustRightInd w:val="0"/>
        <w:ind w:left="720"/>
        <w:jc w:val="both"/>
        <w:rPr>
          <w:rFonts w:ascii="Arial" w:hAnsi="Arial" w:cs="Arial"/>
          <w:snapToGrid/>
          <w:szCs w:val="24"/>
          <w:lang w:val="en-GB" w:eastAsia="en-GB"/>
        </w:rPr>
      </w:pPr>
    </w:p>
    <w:p w14:paraId="2726C9FA" w14:textId="22744963" w:rsidR="00D669C9" w:rsidRDefault="0004366E" w:rsidP="0029329E">
      <w:pPr>
        <w:widowControl/>
        <w:numPr>
          <w:ilvl w:val="0"/>
          <w:numId w:val="7"/>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Fire doors and emergency exits must not be compromised with additional safety devices.</w:t>
      </w:r>
      <w:r w:rsidR="00D669C9">
        <w:rPr>
          <w:rFonts w:ascii="Arial" w:hAnsi="Arial" w:cs="Arial"/>
          <w:snapToGrid/>
          <w:szCs w:val="24"/>
          <w:lang w:val="en-GB" w:eastAsia="en-GB"/>
        </w:rPr>
        <w:t xml:space="preserve"> Where a risk assessment determines that a fire door would benefit from such a protective device caution should be taken to ensure that whichever device is selected complies with the relevant fire safety regulations</w:t>
      </w:r>
      <w:r w:rsidR="00F30986">
        <w:rPr>
          <w:rFonts w:ascii="Arial" w:hAnsi="Arial" w:cs="Arial"/>
          <w:snapToGrid/>
          <w:szCs w:val="24"/>
          <w:lang w:val="en-GB" w:eastAsia="en-GB"/>
        </w:rPr>
        <w:t xml:space="preserve"> and it may be necessary to seek further advice from a specialist</w:t>
      </w:r>
      <w:r w:rsidR="00D669C9">
        <w:rPr>
          <w:rFonts w:ascii="Arial" w:hAnsi="Arial" w:cs="Arial"/>
          <w:snapToGrid/>
          <w:szCs w:val="24"/>
          <w:lang w:val="en-GB" w:eastAsia="en-GB"/>
        </w:rPr>
        <w:t>.</w:t>
      </w:r>
    </w:p>
    <w:p w14:paraId="06B616F5" w14:textId="77777777" w:rsidR="0029329E" w:rsidRPr="0029329E" w:rsidRDefault="0029329E" w:rsidP="0029329E">
      <w:pPr>
        <w:widowControl/>
        <w:autoSpaceDE w:val="0"/>
        <w:autoSpaceDN w:val="0"/>
        <w:adjustRightInd w:val="0"/>
        <w:jc w:val="both"/>
        <w:rPr>
          <w:rFonts w:ascii="Arial" w:hAnsi="Arial" w:cs="Arial"/>
          <w:snapToGrid/>
          <w:szCs w:val="24"/>
          <w:lang w:val="en-GB" w:eastAsia="en-GB"/>
        </w:rPr>
      </w:pPr>
    </w:p>
    <w:p w14:paraId="3343EB31" w14:textId="77777777" w:rsidR="001F2E35" w:rsidRDefault="00D221EC" w:rsidP="00D221EC">
      <w:pPr>
        <w:pStyle w:val="Heading1"/>
        <w:numPr>
          <w:ilvl w:val="0"/>
          <w:numId w:val="9"/>
        </w:numPr>
        <w:rPr>
          <w:rFonts w:ascii="Arial" w:hAnsi="Arial" w:cs="Arial"/>
          <w:sz w:val="24"/>
          <w:szCs w:val="24"/>
          <w:lang w:val="en-GB"/>
        </w:rPr>
      </w:pPr>
      <w:bookmarkStart w:id="2" w:name="_Toc85196622"/>
      <w:r>
        <w:rPr>
          <w:rFonts w:ascii="Arial" w:hAnsi="Arial" w:cs="Arial"/>
          <w:sz w:val="24"/>
          <w:szCs w:val="24"/>
          <w:lang w:val="en-GB"/>
        </w:rPr>
        <w:t>Areas of R</w:t>
      </w:r>
      <w:r w:rsidR="001F2E35" w:rsidRPr="001F2E35">
        <w:rPr>
          <w:rFonts w:ascii="Arial" w:hAnsi="Arial" w:cs="Arial"/>
          <w:sz w:val="24"/>
          <w:szCs w:val="24"/>
          <w:lang w:val="en-GB"/>
        </w:rPr>
        <w:t>isk</w:t>
      </w:r>
      <w:bookmarkEnd w:id="2"/>
    </w:p>
    <w:p w14:paraId="4FA28134" w14:textId="77777777" w:rsidR="001F2E35" w:rsidRPr="001F2E35" w:rsidRDefault="001F2E35" w:rsidP="001F2E35">
      <w:pPr>
        <w:rPr>
          <w:lang w:val="en-GB"/>
        </w:rPr>
      </w:pPr>
    </w:p>
    <w:p w14:paraId="6740F2E7" w14:textId="77777777" w:rsidR="00D669C9" w:rsidRDefault="001F2E35" w:rsidP="001F2E35">
      <w:pPr>
        <w:shd w:val="clear" w:color="auto" w:fill="FFFFFF"/>
        <w:spacing w:after="150"/>
        <w:jc w:val="both"/>
        <w:rPr>
          <w:rFonts w:ascii="Arial" w:hAnsi="Arial" w:cs="Arial"/>
          <w:lang w:val="en-GB"/>
        </w:rPr>
      </w:pPr>
      <w:r w:rsidRPr="001F2E35">
        <w:rPr>
          <w:rFonts w:ascii="Arial" w:hAnsi="Arial" w:cs="Arial"/>
          <w:b/>
          <w:lang w:val="en-GB"/>
        </w:rPr>
        <w:t>Latch</w:t>
      </w:r>
    </w:p>
    <w:p w14:paraId="28438FE5" w14:textId="4839AA24" w:rsidR="001F2E35" w:rsidRPr="001F2E35" w:rsidRDefault="001F2E35" w:rsidP="001F2E35">
      <w:pPr>
        <w:shd w:val="clear" w:color="auto" w:fill="FFFFFF"/>
        <w:spacing w:after="150"/>
        <w:jc w:val="both"/>
        <w:rPr>
          <w:rFonts w:ascii="Arial" w:hAnsi="Arial" w:cs="Arial"/>
          <w:lang w:val="en-GB"/>
        </w:rPr>
      </w:pPr>
      <w:r w:rsidRPr="001F2E35">
        <w:rPr>
          <w:rFonts w:ascii="Arial" w:hAnsi="Arial" w:cs="Arial"/>
          <w:lang w:val="en-GB"/>
        </w:rPr>
        <w:t>In the latch area of the door it is relatively simple to reduce the risk - self-closing devices can be installed which reduce the pace of closure. Alternatively foam bumpers can be used and are very useful though only where it isn’t necessary for the door to close fully.</w:t>
      </w:r>
    </w:p>
    <w:p w14:paraId="1AEB01EE" w14:textId="77777777" w:rsidR="00D669C9" w:rsidRDefault="00D669C9" w:rsidP="001F2E35">
      <w:pPr>
        <w:shd w:val="clear" w:color="auto" w:fill="FFFFFF"/>
        <w:spacing w:after="150"/>
        <w:jc w:val="both"/>
        <w:rPr>
          <w:rFonts w:ascii="Arial" w:hAnsi="Arial" w:cs="Arial"/>
          <w:b/>
          <w:lang w:val="en-GB"/>
        </w:rPr>
      </w:pPr>
    </w:p>
    <w:p w14:paraId="236DBD66" w14:textId="49988FE5" w:rsidR="00D669C9" w:rsidRDefault="001F2E35" w:rsidP="001F2E35">
      <w:pPr>
        <w:shd w:val="clear" w:color="auto" w:fill="FFFFFF"/>
        <w:spacing w:after="150"/>
        <w:jc w:val="both"/>
        <w:rPr>
          <w:rFonts w:ascii="Arial" w:hAnsi="Arial" w:cs="Arial"/>
          <w:lang w:val="en-GB"/>
        </w:rPr>
      </w:pPr>
      <w:r w:rsidRPr="001F2E35">
        <w:rPr>
          <w:rFonts w:ascii="Arial" w:hAnsi="Arial" w:cs="Arial"/>
          <w:b/>
          <w:lang w:val="en-GB"/>
        </w:rPr>
        <w:t>Hinge trap</w:t>
      </w:r>
    </w:p>
    <w:p w14:paraId="42F3FC2A" w14:textId="381F4A2F" w:rsidR="001F2E35" w:rsidRPr="001F2E35" w:rsidRDefault="001F2E35" w:rsidP="00D669C9">
      <w:pPr>
        <w:shd w:val="clear" w:color="auto" w:fill="FFFFFF"/>
        <w:jc w:val="both"/>
        <w:rPr>
          <w:rFonts w:ascii="Arial" w:hAnsi="Arial" w:cs="Arial"/>
          <w:lang w:val="en-GB"/>
        </w:rPr>
      </w:pPr>
      <w:r w:rsidRPr="001F2E35">
        <w:rPr>
          <w:rFonts w:ascii="Arial" w:hAnsi="Arial" w:cs="Arial"/>
          <w:lang w:val="en-GB"/>
        </w:rPr>
        <w:t xml:space="preserve">A wide gap opens up on one side of the door - known as the hinge cavity - and on the other, where the pin of the latch is located, there is a smaller gap which may be a risk to very small children. </w:t>
      </w:r>
    </w:p>
    <w:p w14:paraId="08C913BA" w14:textId="77777777" w:rsidR="00D669C9" w:rsidRDefault="00D669C9" w:rsidP="001F2E35">
      <w:pPr>
        <w:shd w:val="clear" w:color="auto" w:fill="FFFFFF"/>
        <w:spacing w:after="150"/>
        <w:jc w:val="both"/>
        <w:rPr>
          <w:rFonts w:ascii="Arial" w:hAnsi="Arial" w:cs="Arial"/>
          <w:b/>
          <w:lang w:val="en-GB"/>
        </w:rPr>
      </w:pPr>
    </w:p>
    <w:p w14:paraId="441F3EDE" w14:textId="27B98657" w:rsidR="00D669C9" w:rsidRDefault="00D669C9" w:rsidP="001F2E35">
      <w:pPr>
        <w:shd w:val="clear" w:color="auto" w:fill="FFFFFF"/>
        <w:spacing w:after="150"/>
        <w:jc w:val="both"/>
        <w:rPr>
          <w:rFonts w:ascii="Arial" w:hAnsi="Arial" w:cs="Arial"/>
          <w:lang w:val="en-GB"/>
        </w:rPr>
      </w:pPr>
      <w:r>
        <w:rPr>
          <w:rFonts w:ascii="Arial" w:hAnsi="Arial" w:cs="Arial"/>
          <w:b/>
          <w:lang w:val="en-GB"/>
        </w:rPr>
        <w:t xml:space="preserve">NB: </w:t>
      </w:r>
      <w:r w:rsidR="00D221EC">
        <w:rPr>
          <w:rFonts w:ascii="Arial" w:hAnsi="Arial" w:cs="Arial"/>
          <w:lang w:val="en-GB"/>
        </w:rPr>
        <w:t>It i</w:t>
      </w:r>
      <w:r w:rsidR="001F2E35" w:rsidRPr="001F2E35">
        <w:rPr>
          <w:rFonts w:ascii="Arial" w:hAnsi="Arial" w:cs="Arial"/>
          <w:lang w:val="en-GB"/>
        </w:rPr>
        <w:t xml:space="preserve">s worth noting that the use of self-closing devices also gives some protection at the hinge side of the door, but if there’s a risk to young children it </w:t>
      </w:r>
      <w:r w:rsidR="00D221EC">
        <w:rPr>
          <w:rFonts w:ascii="Arial" w:hAnsi="Arial" w:cs="Arial"/>
          <w:lang w:val="en-GB"/>
        </w:rPr>
        <w:t>will not be sufficient</w:t>
      </w:r>
      <w:r w:rsidR="001F2E35" w:rsidRPr="001F2E35">
        <w:rPr>
          <w:rFonts w:ascii="Arial" w:hAnsi="Arial" w:cs="Arial"/>
          <w:lang w:val="en-GB"/>
        </w:rPr>
        <w:t>.</w:t>
      </w:r>
    </w:p>
    <w:p w14:paraId="13636C95" w14:textId="77777777" w:rsidR="00D669C9" w:rsidRPr="001F2E35" w:rsidRDefault="00D669C9" w:rsidP="00D669C9">
      <w:pPr>
        <w:shd w:val="clear" w:color="auto" w:fill="FFFFFF"/>
        <w:jc w:val="both"/>
        <w:rPr>
          <w:rFonts w:ascii="Arial" w:hAnsi="Arial" w:cs="Arial"/>
          <w:lang w:val="en-GB"/>
        </w:rPr>
      </w:pPr>
    </w:p>
    <w:p w14:paraId="7D511292" w14:textId="77777777" w:rsidR="0004366E" w:rsidRPr="000A7C27" w:rsidRDefault="0004366E" w:rsidP="00D221EC">
      <w:pPr>
        <w:pStyle w:val="Heading1"/>
        <w:numPr>
          <w:ilvl w:val="0"/>
          <w:numId w:val="9"/>
        </w:numPr>
        <w:rPr>
          <w:rFonts w:ascii="Arial" w:hAnsi="Arial" w:cs="Arial"/>
          <w:snapToGrid/>
          <w:sz w:val="24"/>
          <w:szCs w:val="24"/>
          <w:lang w:val="en-GB" w:eastAsia="en-GB"/>
        </w:rPr>
      </w:pPr>
      <w:bookmarkStart w:id="3" w:name="_Toc85196623"/>
      <w:r w:rsidRPr="000A7C27">
        <w:rPr>
          <w:rFonts w:ascii="Arial" w:hAnsi="Arial" w:cs="Arial"/>
          <w:snapToGrid/>
          <w:sz w:val="24"/>
          <w:szCs w:val="24"/>
          <w:lang w:val="en-GB" w:eastAsia="en-GB"/>
        </w:rPr>
        <w:t xml:space="preserve">Action </w:t>
      </w:r>
      <w:r w:rsidR="00D221EC">
        <w:rPr>
          <w:rFonts w:ascii="Arial" w:hAnsi="Arial" w:cs="Arial"/>
          <w:snapToGrid/>
          <w:sz w:val="24"/>
          <w:szCs w:val="24"/>
          <w:lang w:val="en-GB" w:eastAsia="en-GB"/>
        </w:rPr>
        <w:t>R</w:t>
      </w:r>
      <w:r w:rsidRPr="000A7C27">
        <w:rPr>
          <w:rFonts w:ascii="Arial" w:hAnsi="Arial" w:cs="Arial"/>
          <w:snapToGrid/>
          <w:sz w:val="24"/>
          <w:szCs w:val="24"/>
          <w:lang w:val="en-GB" w:eastAsia="en-GB"/>
        </w:rPr>
        <w:t>equired</w:t>
      </w:r>
      <w:bookmarkEnd w:id="3"/>
    </w:p>
    <w:p w14:paraId="2A42761C" w14:textId="77777777" w:rsidR="0004366E" w:rsidRDefault="0004366E" w:rsidP="0004366E">
      <w:pPr>
        <w:jc w:val="both"/>
        <w:rPr>
          <w:rFonts w:ascii="Arial" w:hAnsi="Arial" w:cs="Arial"/>
          <w:b/>
          <w:bCs/>
          <w:snapToGrid/>
          <w:szCs w:val="24"/>
          <w:lang w:val="en-GB" w:eastAsia="en-GB"/>
        </w:rPr>
      </w:pPr>
    </w:p>
    <w:p w14:paraId="52B9C871" w14:textId="77777777" w:rsidR="0004366E" w:rsidRDefault="00D221EC" w:rsidP="0004366E">
      <w:pPr>
        <w:jc w:val="both"/>
        <w:rPr>
          <w:rFonts w:ascii="Arial" w:hAnsi="Arial" w:cs="Arial"/>
          <w:lang w:val="en-GB"/>
        </w:rPr>
      </w:pPr>
      <w:r>
        <w:rPr>
          <w:rFonts w:ascii="Arial" w:hAnsi="Arial" w:cs="Arial"/>
          <w:lang w:val="en-GB"/>
        </w:rPr>
        <w:t>I</w:t>
      </w:r>
      <w:r w:rsidR="0004366E" w:rsidRPr="00434396">
        <w:rPr>
          <w:rFonts w:ascii="Arial" w:hAnsi="Arial" w:cs="Arial"/>
          <w:lang w:val="en-GB"/>
        </w:rPr>
        <w:t xml:space="preserve">f your premises do not already have such devices, you should carry out a risk assessment and decide which doors should receive priority. </w:t>
      </w:r>
    </w:p>
    <w:p w14:paraId="3C4B80B3" w14:textId="77777777" w:rsidR="0004366E" w:rsidRPr="00434396" w:rsidRDefault="0004366E" w:rsidP="0004366E">
      <w:pPr>
        <w:jc w:val="both"/>
        <w:rPr>
          <w:rFonts w:ascii="Arial" w:hAnsi="Arial" w:cs="Arial"/>
          <w:lang w:val="en-GB"/>
        </w:rPr>
      </w:pPr>
    </w:p>
    <w:p w14:paraId="37953137" w14:textId="35401C7F" w:rsidR="00434396" w:rsidRDefault="00A400F6" w:rsidP="00CE4C86">
      <w:pPr>
        <w:jc w:val="both"/>
        <w:rPr>
          <w:rFonts w:ascii="Arial" w:hAnsi="Arial" w:cs="Arial"/>
          <w:lang w:val="en-GB"/>
        </w:rPr>
      </w:pPr>
      <w:r w:rsidRPr="00434396">
        <w:rPr>
          <w:rFonts w:ascii="Arial" w:hAnsi="Arial" w:cs="Arial"/>
          <w:lang w:val="en-GB"/>
        </w:rPr>
        <w:t xml:space="preserve">Any injury at a door without such protection should be reported on </w:t>
      </w:r>
      <w:r w:rsidR="0029329E">
        <w:rPr>
          <w:rFonts w:ascii="Arial" w:hAnsi="Arial" w:cs="Arial"/>
          <w:lang w:val="en-GB"/>
        </w:rPr>
        <w:t>the</w:t>
      </w:r>
      <w:r w:rsidRPr="00434396">
        <w:rPr>
          <w:rFonts w:ascii="Arial" w:hAnsi="Arial" w:cs="Arial"/>
          <w:lang w:val="en-GB"/>
        </w:rPr>
        <w:t xml:space="preserve"> Council accident</w:t>
      </w:r>
      <w:r w:rsidR="0029329E">
        <w:rPr>
          <w:rFonts w:ascii="Arial" w:hAnsi="Arial" w:cs="Arial"/>
          <w:lang w:val="en-GB"/>
        </w:rPr>
        <w:t xml:space="preserve"> </w:t>
      </w:r>
      <w:r w:rsidRPr="00434396">
        <w:rPr>
          <w:rFonts w:ascii="Arial" w:hAnsi="Arial" w:cs="Arial"/>
          <w:lang w:val="en-GB"/>
        </w:rPr>
        <w:t>/</w:t>
      </w:r>
      <w:r w:rsidR="0029329E">
        <w:rPr>
          <w:rFonts w:ascii="Arial" w:hAnsi="Arial" w:cs="Arial"/>
          <w:lang w:val="en-GB"/>
        </w:rPr>
        <w:t xml:space="preserve"> </w:t>
      </w:r>
      <w:r w:rsidRPr="00434396">
        <w:rPr>
          <w:rFonts w:ascii="Arial" w:hAnsi="Arial" w:cs="Arial"/>
          <w:lang w:val="en-GB"/>
        </w:rPr>
        <w:t xml:space="preserve">incident </w:t>
      </w:r>
      <w:r w:rsidR="0004366E">
        <w:rPr>
          <w:rFonts w:ascii="Arial" w:hAnsi="Arial" w:cs="Arial"/>
          <w:lang w:val="en-GB"/>
        </w:rPr>
        <w:t>system.</w:t>
      </w:r>
      <w:r w:rsidRPr="00434396">
        <w:rPr>
          <w:rFonts w:ascii="Arial" w:hAnsi="Arial" w:cs="Arial"/>
          <w:lang w:val="en-GB"/>
        </w:rPr>
        <w:t xml:space="preserve"> If the injury requires hospital attention, it must also be reported to the Government Health &amp; Safety Executive (HSE) under the RIDDOR scheme. This could result in enforcement action being taken by HSE. In addition, any claim for compensation is likely to be successful. </w:t>
      </w:r>
    </w:p>
    <w:p w14:paraId="2ABC1905" w14:textId="77777777" w:rsidR="00D669C9" w:rsidRDefault="00D669C9" w:rsidP="00CE4C86">
      <w:pPr>
        <w:jc w:val="both"/>
        <w:rPr>
          <w:rFonts w:ascii="Arial" w:hAnsi="Arial" w:cs="Arial"/>
          <w:lang w:val="en-GB"/>
        </w:rPr>
      </w:pPr>
    </w:p>
    <w:p w14:paraId="718DCAD1" w14:textId="77777777" w:rsidR="0004366E" w:rsidRPr="000A7C27" w:rsidRDefault="0004366E" w:rsidP="00D221EC">
      <w:pPr>
        <w:pStyle w:val="Heading1"/>
        <w:numPr>
          <w:ilvl w:val="0"/>
          <w:numId w:val="9"/>
        </w:numPr>
        <w:rPr>
          <w:rFonts w:ascii="Arial" w:hAnsi="Arial" w:cs="Arial"/>
          <w:sz w:val="24"/>
          <w:szCs w:val="24"/>
          <w:lang w:val="en-GB"/>
        </w:rPr>
      </w:pPr>
      <w:bookmarkStart w:id="4" w:name="_Toc85196624"/>
      <w:r w:rsidRPr="000A7C27">
        <w:rPr>
          <w:rFonts w:ascii="Arial" w:hAnsi="Arial" w:cs="Arial"/>
          <w:sz w:val="24"/>
          <w:szCs w:val="24"/>
          <w:lang w:val="en-GB"/>
        </w:rPr>
        <w:t>Risk Assessment</w:t>
      </w:r>
      <w:bookmarkEnd w:id="4"/>
    </w:p>
    <w:p w14:paraId="67AAAAD6" w14:textId="77777777" w:rsidR="0004366E" w:rsidRDefault="0004366E" w:rsidP="00CE4C86">
      <w:pPr>
        <w:jc w:val="both"/>
        <w:rPr>
          <w:rFonts w:ascii="Arial" w:hAnsi="Arial" w:cs="Arial"/>
          <w:b/>
          <w:lang w:val="en-GB"/>
        </w:rPr>
      </w:pPr>
    </w:p>
    <w:p w14:paraId="1968B7C6" w14:textId="6BDF080E" w:rsidR="0004366E" w:rsidRDefault="0029329E" w:rsidP="000A7C27">
      <w:pPr>
        <w:widowControl/>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 xml:space="preserve">A systematic inspection of all internal doors should be undertaken, looking at the characteristics of the doors (e.g. fire door, heavy, fast closing, automated etc.) and their location in relation to the use of the premises. </w:t>
      </w:r>
      <w:r w:rsidR="0004366E">
        <w:rPr>
          <w:rFonts w:ascii="Arial" w:hAnsi="Arial" w:cs="Arial"/>
          <w:snapToGrid/>
          <w:szCs w:val="24"/>
          <w:lang w:val="en-GB" w:eastAsia="en-GB"/>
        </w:rPr>
        <w:t>To assist with undertaking this risk assessment, the following factors should be taken into</w:t>
      </w:r>
      <w:r w:rsidR="000A7C27">
        <w:rPr>
          <w:rFonts w:ascii="Arial" w:hAnsi="Arial" w:cs="Arial"/>
          <w:snapToGrid/>
          <w:szCs w:val="24"/>
          <w:lang w:val="en-GB" w:eastAsia="en-GB"/>
        </w:rPr>
        <w:t xml:space="preserve"> </w:t>
      </w:r>
      <w:r w:rsidR="0004366E">
        <w:rPr>
          <w:rFonts w:ascii="Arial" w:hAnsi="Arial" w:cs="Arial"/>
          <w:snapToGrid/>
          <w:szCs w:val="24"/>
          <w:lang w:val="en-GB" w:eastAsia="en-GB"/>
        </w:rPr>
        <w:t>consideration. Please note that this list is not presented in any particular order of</w:t>
      </w:r>
      <w:r w:rsidR="000A7C27">
        <w:rPr>
          <w:rFonts w:ascii="Arial" w:hAnsi="Arial" w:cs="Arial"/>
          <w:snapToGrid/>
          <w:szCs w:val="24"/>
          <w:lang w:val="en-GB" w:eastAsia="en-GB"/>
        </w:rPr>
        <w:t xml:space="preserve"> </w:t>
      </w:r>
      <w:r w:rsidR="0004366E">
        <w:rPr>
          <w:rFonts w:ascii="Arial" w:hAnsi="Arial" w:cs="Arial"/>
          <w:snapToGrid/>
          <w:szCs w:val="24"/>
          <w:lang w:val="en-GB" w:eastAsia="en-GB"/>
        </w:rPr>
        <w:t xml:space="preserve">importance and that additional factors not referred to here may be relevant for </w:t>
      </w:r>
      <w:r w:rsidR="000A7C27">
        <w:rPr>
          <w:rFonts w:ascii="Arial" w:hAnsi="Arial" w:cs="Arial"/>
          <w:snapToGrid/>
          <w:szCs w:val="24"/>
          <w:lang w:val="en-GB" w:eastAsia="en-GB"/>
        </w:rPr>
        <w:t>i</w:t>
      </w:r>
      <w:r w:rsidR="0004366E">
        <w:rPr>
          <w:rFonts w:ascii="Arial" w:hAnsi="Arial" w:cs="Arial"/>
          <w:snapToGrid/>
          <w:szCs w:val="24"/>
          <w:lang w:val="en-GB" w:eastAsia="en-GB"/>
        </w:rPr>
        <w:t>ndividual</w:t>
      </w:r>
      <w:r w:rsidR="000A7C27">
        <w:rPr>
          <w:rFonts w:ascii="Arial" w:hAnsi="Arial" w:cs="Arial"/>
          <w:snapToGrid/>
          <w:szCs w:val="24"/>
          <w:lang w:val="en-GB" w:eastAsia="en-GB"/>
        </w:rPr>
        <w:t xml:space="preserve"> </w:t>
      </w:r>
      <w:r w:rsidR="0004366E">
        <w:rPr>
          <w:rFonts w:ascii="Arial" w:hAnsi="Arial" w:cs="Arial"/>
          <w:snapToGrid/>
          <w:szCs w:val="24"/>
          <w:lang w:val="en-GB" w:eastAsia="en-GB"/>
        </w:rPr>
        <w:t>schools.</w:t>
      </w:r>
    </w:p>
    <w:p w14:paraId="615EED36" w14:textId="77777777" w:rsidR="000A7C27" w:rsidRDefault="000A7C27" w:rsidP="000A7C27">
      <w:pPr>
        <w:widowControl/>
        <w:autoSpaceDE w:val="0"/>
        <w:autoSpaceDN w:val="0"/>
        <w:adjustRightInd w:val="0"/>
        <w:jc w:val="both"/>
        <w:rPr>
          <w:rFonts w:ascii="Arial" w:hAnsi="Arial" w:cs="Arial"/>
          <w:snapToGrid/>
          <w:szCs w:val="24"/>
          <w:lang w:val="en-GB" w:eastAsia="en-GB"/>
        </w:rPr>
      </w:pPr>
    </w:p>
    <w:p w14:paraId="11BF18FF" w14:textId="148CC47F"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Age group concerned (also consider younger siblings who may come into school)</w:t>
      </w:r>
      <w:r w:rsidR="0029329E">
        <w:rPr>
          <w:rFonts w:ascii="Arial" w:hAnsi="Arial" w:cs="Arial"/>
          <w:snapToGrid/>
          <w:szCs w:val="24"/>
          <w:lang w:val="en-GB" w:eastAsia="en-GB"/>
        </w:rPr>
        <w:t>;</w:t>
      </w:r>
    </w:p>
    <w:p w14:paraId="6FBACB66"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6B2EA316" w14:textId="4B859681" w:rsidR="0004366E" w:rsidRDefault="000A7C27"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S</w:t>
      </w:r>
      <w:r w:rsidR="0004366E">
        <w:rPr>
          <w:rFonts w:ascii="Arial" w:hAnsi="Arial" w:cs="Arial"/>
          <w:snapToGrid/>
          <w:szCs w:val="24"/>
          <w:lang w:val="en-GB" w:eastAsia="en-GB"/>
        </w:rPr>
        <w:t xml:space="preserve">pecial needs </w:t>
      </w:r>
      <w:r w:rsidR="0029329E">
        <w:rPr>
          <w:rFonts w:ascii="Arial" w:hAnsi="Arial" w:cs="Arial"/>
          <w:snapToGrid/>
          <w:szCs w:val="24"/>
          <w:lang w:val="en-GB" w:eastAsia="en-GB"/>
        </w:rPr>
        <w:t xml:space="preserve">and </w:t>
      </w:r>
      <w:r w:rsidR="0004366E">
        <w:rPr>
          <w:rFonts w:ascii="Arial" w:hAnsi="Arial" w:cs="Arial"/>
          <w:snapToGrid/>
          <w:szCs w:val="24"/>
          <w:lang w:val="en-GB" w:eastAsia="en-GB"/>
        </w:rPr>
        <w:t xml:space="preserve">/ </w:t>
      </w:r>
      <w:r w:rsidR="0029329E">
        <w:rPr>
          <w:rFonts w:ascii="Arial" w:hAnsi="Arial" w:cs="Arial"/>
          <w:snapToGrid/>
          <w:szCs w:val="24"/>
          <w:lang w:val="en-GB" w:eastAsia="en-GB"/>
        </w:rPr>
        <w:t xml:space="preserve">or </w:t>
      </w:r>
      <w:r w:rsidR="0004366E">
        <w:rPr>
          <w:rFonts w:ascii="Arial" w:hAnsi="Arial" w:cs="Arial"/>
          <w:snapToGrid/>
          <w:szCs w:val="24"/>
          <w:lang w:val="en-GB" w:eastAsia="en-GB"/>
        </w:rPr>
        <w:t>behaviour management issues</w:t>
      </w:r>
      <w:r w:rsidR="0029329E">
        <w:rPr>
          <w:rFonts w:ascii="Arial" w:hAnsi="Arial" w:cs="Arial"/>
          <w:snapToGrid/>
          <w:szCs w:val="24"/>
          <w:lang w:val="en-GB" w:eastAsia="en-GB"/>
        </w:rPr>
        <w:t>;</w:t>
      </w:r>
    </w:p>
    <w:p w14:paraId="6E512390"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77336286" w14:textId="1B7D34FA"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School layout / design</w:t>
      </w:r>
      <w:r w:rsidR="007431E6">
        <w:rPr>
          <w:rFonts w:ascii="Arial" w:hAnsi="Arial" w:cs="Arial"/>
          <w:color w:val="333333"/>
          <w:sz w:val="20"/>
        </w:rPr>
        <w:t xml:space="preserve">. </w:t>
      </w:r>
      <w:r w:rsidR="007431E6" w:rsidRPr="007431E6">
        <w:rPr>
          <w:rFonts w:ascii="Arial" w:hAnsi="Arial" w:cs="Arial"/>
          <w:snapToGrid/>
          <w:szCs w:val="24"/>
          <w:lang w:val="en-GB" w:eastAsia="en-GB"/>
        </w:rPr>
        <w:t>In particular where the door is heavy, in an area where children congregate or susceptible to being blown by a gust of wind</w:t>
      </w:r>
      <w:r w:rsidR="0029329E">
        <w:rPr>
          <w:rFonts w:ascii="Arial" w:hAnsi="Arial" w:cs="Arial"/>
          <w:snapToGrid/>
          <w:szCs w:val="24"/>
          <w:lang w:val="en-GB" w:eastAsia="en-GB"/>
        </w:rPr>
        <w:t>;</w:t>
      </w:r>
    </w:p>
    <w:p w14:paraId="74E0CA36"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09579F4D" w14:textId="266F6207"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 xml:space="preserve">Congregational areas (e.g. entrance areas, </w:t>
      </w:r>
      <w:r w:rsidR="0029329E">
        <w:rPr>
          <w:rFonts w:ascii="Arial" w:hAnsi="Arial" w:cs="Arial"/>
          <w:snapToGrid/>
          <w:szCs w:val="24"/>
          <w:lang w:val="en-GB" w:eastAsia="en-GB"/>
        </w:rPr>
        <w:t xml:space="preserve">dining hall, </w:t>
      </w:r>
      <w:r>
        <w:rPr>
          <w:rFonts w:ascii="Arial" w:hAnsi="Arial" w:cs="Arial"/>
          <w:snapToGrid/>
          <w:szCs w:val="24"/>
          <w:lang w:val="en-GB" w:eastAsia="en-GB"/>
        </w:rPr>
        <w:t>cloakrooms, toilets etc.)</w:t>
      </w:r>
      <w:r w:rsidR="0029329E">
        <w:rPr>
          <w:rFonts w:ascii="Arial" w:hAnsi="Arial" w:cs="Arial"/>
          <w:snapToGrid/>
          <w:szCs w:val="24"/>
          <w:lang w:val="en-GB" w:eastAsia="en-GB"/>
        </w:rPr>
        <w:t>;</w:t>
      </w:r>
    </w:p>
    <w:p w14:paraId="6CE4FFE7"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018700C1" w14:textId="4C226F85"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Pupil movements / timetable requirements</w:t>
      </w:r>
      <w:r w:rsidR="0029329E">
        <w:rPr>
          <w:rFonts w:ascii="Arial" w:hAnsi="Arial" w:cs="Arial"/>
          <w:snapToGrid/>
          <w:szCs w:val="24"/>
          <w:lang w:val="en-GB" w:eastAsia="en-GB"/>
        </w:rPr>
        <w:t>;</w:t>
      </w:r>
    </w:p>
    <w:p w14:paraId="4ADC838F"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33348CEF" w14:textId="6C1E670B"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Security issues</w:t>
      </w:r>
      <w:r w:rsidR="0029329E">
        <w:rPr>
          <w:rFonts w:ascii="Arial" w:hAnsi="Arial" w:cs="Arial"/>
          <w:snapToGrid/>
          <w:szCs w:val="24"/>
          <w:lang w:val="en-GB" w:eastAsia="en-GB"/>
        </w:rPr>
        <w:t>;</w:t>
      </w:r>
    </w:p>
    <w:p w14:paraId="655AC20E"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020F75BC" w14:textId="37B13EEE"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Supervision levels</w:t>
      </w:r>
      <w:r w:rsidR="0029329E">
        <w:rPr>
          <w:rFonts w:ascii="Arial" w:hAnsi="Arial" w:cs="Arial"/>
          <w:snapToGrid/>
          <w:szCs w:val="24"/>
          <w:lang w:val="en-GB" w:eastAsia="en-GB"/>
        </w:rPr>
        <w:t>;</w:t>
      </w:r>
    </w:p>
    <w:p w14:paraId="4F896286"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26246229" w14:textId="3B7387C1"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lastRenderedPageBreak/>
        <w:t>Type of doors (e.g. internal / external, fire door etc.)</w:t>
      </w:r>
      <w:r w:rsidR="0029329E">
        <w:rPr>
          <w:rFonts w:ascii="Arial" w:hAnsi="Arial" w:cs="Arial"/>
          <w:snapToGrid/>
          <w:szCs w:val="24"/>
          <w:lang w:val="en-GB" w:eastAsia="en-GB"/>
        </w:rPr>
        <w:t>;</w:t>
      </w:r>
    </w:p>
    <w:p w14:paraId="22A85DAA"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5CD68B36" w14:textId="59B70987"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Design / weight of doors (e.g. metal edges etc.)</w:t>
      </w:r>
      <w:r w:rsidR="0029329E">
        <w:rPr>
          <w:rFonts w:ascii="Arial" w:hAnsi="Arial" w:cs="Arial"/>
          <w:snapToGrid/>
          <w:szCs w:val="24"/>
          <w:lang w:val="en-GB" w:eastAsia="en-GB"/>
        </w:rPr>
        <w:t>;</w:t>
      </w:r>
    </w:p>
    <w:p w14:paraId="2796720F"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2DA77451" w14:textId="413796A9"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Are self-closers fitted and if so, are they routinely checked for correct operation</w:t>
      </w:r>
      <w:r w:rsidR="0029329E">
        <w:rPr>
          <w:rFonts w:ascii="Arial" w:hAnsi="Arial" w:cs="Arial"/>
          <w:snapToGrid/>
          <w:szCs w:val="24"/>
          <w:lang w:val="en-GB" w:eastAsia="en-GB"/>
        </w:rPr>
        <w:t>;</w:t>
      </w:r>
    </w:p>
    <w:p w14:paraId="50AAA52E"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0C26138E" w14:textId="433A9983"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History of related accidents in the school</w:t>
      </w:r>
      <w:r w:rsidR="0029329E">
        <w:rPr>
          <w:rFonts w:ascii="Arial" w:hAnsi="Arial" w:cs="Arial"/>
          <w:snapToGrid/>
          <w:szCs w:val="24"/>
          <w:lang w:val="en-GB" w:eastAsia="en-GB"/>
        </w:rPr>
        <w:t>;</w:t>
      </w:r>
    </w:p>
    <w:p w14:paraId="39B4030B" w14:textId="77777777" w:rsidR="0029329E" w:rsidRDefault="0029329E" w:rsidP="0029329E">
      <w:pPr>
        <w:widowControl/>
        <w:autoSpaceDE w:val="0"/>
        <w:autoSpaceDN w:val="0"/>
        <w:adjustRightInd w:val="0"/>
        <w:ind w:left="720"/>
        <w:jc w:val="both"/>
        <w:rPr>
          <w:rFonts w:ascii="Arial" w:hAnsi="Arial" w:cs="Arial"/>
          <w:snapToGrid/>
          <w:szCs w:val="24"/>
          <w:lang w:val="en-GB" w:eastAsia="en-GB"/>
        </w:rPr>
      </w:pPr>
    </w:p>
    <w:p w14:paraId="2BC8F70B" w14:textId="48052241" w:rsidR="0004366E" w:rsidRDefault="0004366E" w:rsidP="000A7C27">
      <w:pPr>
        <w:widowControl/>
        <w:numPr>
          <w:ilvl w:val="0"/>
          <w:numId w:val="8"/>
        </w:numPr>
        <w:autoSpaceDE w:val="0"/>
        <w:autoSpaceDN w:val="0"/>
        <w:adjustRightInd w:val="0"/>
        <w:jc w:val="both"/>
        <w:rPr>
          <w:rFonts w:ascii="Arial" w:hAnsi="Arial" w:cs="Arial"/>
          <w:snapToGrid/>
          <w:szCs w:val="24"/>
          <w:lang w:val="en-GB" w:eastAsia="en-GB"/>
        </w:rPr>
      </w:pPr>
      <w:r>
        <w:rPr>
          <w:rFonts w:ascii="Arial" w:hAnsi="Arial" w:cs="Arial"/>
          <w:snapToGrid/>
          <w:szCs w:val="24"/>
          <w:lang w:val="en-GB" w:eastAsia="en-GB"/>
        </w:rPr>
        <w:t>Any other relevant factors</w:t>
      </w:r>
      <w:r w:rsidR="0029329E">
        <w:rPr>
          <w:rFonts w:ascii="Arial" w:hAnsi="Arial" w:cs="Arial"/>
          <w:snapToGrid/>
          <w:szCs w:val="24"/>
          <w:lang w:val="en-GB" w:eastAsia="en-GB"/>
        </w:rPr>
        <w:t>.</w:t>
      </w:r>
    </w:p>
    <w:p w14:paraId="57BA2D46" w14:textId="77777777" w:rsidR="00434396" w:rsidRDefault="00434396" w:rsidP="00CE4C86">
      <w:pPr>
        <w:jc w:val="both"/>
        <w:rPr>
          <w:rFonts w:ascii="Arial" w:hAnsi="Arial" w:cs="Arial"/>
          <w:lang w:val="en-GB"/>
        </w:rPr>
      </w:pPr>
    </w:p>
    <w:p w14:paraId="1C67ACD3" w14:textId="77777777" w:rsidR="00A400F6" w:rsidRPr="000A7C27" w:rsidRDefault="00434396" w:rsidP="00D221EC">
      <w:pPr>
        <w:pStyle w:val="Heading1"/>
        <w:numPr>
          <w:ilvl w:val="0"/>
          <w:numId w:val="9"/>
        </w:numPr>
        <w:rPr>
          <w:rFonts w:ascii="Arial" w:hAnsi="Arial" w:cs="Arial"/>
          <w:sz w:val="24"/>
          <w:szCs w:val="24"/>
          <w:lang w:val="en-GB"/>
        </w:rPr>
      </w:pPr>
      <w:bookmarkStart w:id="5" w:name="_Toc85196625"/>
      <w:r w:rsidRPr="000A7C27">
        <w:rPr>
          <w:rFonts w:ascii="Arial" w:hAnsi="Arial" w:cs="Arial"/>
          <w:sz w:val="24"/>
          <w:szCs w:val="24"/>
          <w:lang w:val="en-GB"/>
        </w:rPr>
        <w:t>Types</w:t>
      </w:r>
      <w:bookmarkEnd w:id="5"/>
    </w:p>
    <w:p w14:paraId="505DDEB0" w14:textId="77777777" w:rsidR="00434396" w:rsidRPr="00434396" w:rsidRDefault="00434396" w:rsidP="00CE4C86">
      <w:pPr>
        <w:ind w:right="-25"/>
        <w:jc w:val="both"/>
        <w:rPr>
          <w:rFonts w:ascii="Arial" w:hAnsi="Arial" w:cs="Arial"/>
          <w:lang w:val="en-GB"/>
        </w:rPr>
      </w:pPr>
    </w:p>
    <w:p w14:paraId="3C34DD14" w14:textId="77777777" w:rsidR="00A400F6" w:rsidRPr="00434396" w:rsidRDefault="00434396" w:rsidP="00CE4C86">
      <w:pPr>
        <w:ind w:right="-25"/>
        <w:jc w:val="both"/>
        <w:rPr>
          <w:rFonts w:ascii="Arial" w:hAnsi="Arial" w:cs="Arial"/>
          <w:lang w:val="en-GB"/>
        </w:rPr>
      </w:pPr>
      <w:r>
        <w:rPr>
          <w:rFonts w:ascii="Arial" w:hAnsi="Arial" w:cs="Arial"/>
          <w:lang w:val="en-GB"/>
        </w:rPr>
        <w:t>T</w:t>
      </w:r>
      <w:r w:rsidR="00A400F6" w:rsidRPr="00434396">
        <w:rPr>
          <w:rFonts w:ascii="Arial" w:hAnsi="Arial" w:cs="Arial"/>
        </w:rPr>
        <w:t xml:space="preserve">he </w:t>
      </w:r>
      <w:r w:rsidR="00A400F6" w:rsidRPr="00434396">
        <w:rPr>
          <w:rFonts w:ascii="Arial" w:hAnsi="Arial" w:cs="Arial"/>
          <w:lang w:val="en-GB"/>
        </w:rPr>
        <w:t xml:space="preserve">devices are held in place by </w:t>
      </w:r>
      <w:r>
        <w:rPr>
          <w:rFonts w:ascii="Arial" w:hAnsi="Arial" w:cs="Arial"/>
          <w:lang w:val="en-GB"/>
        </w:rPr>
        <w:t xml:space="preserve">either </w:t>
      </w:r>
      <w:r w:rsidRPr="00434396">
        <w:rPr>
          <w:rFonts w:ascii="Arial" w:hAnsi="Arial" w:cs="Arial"/>
        </w:rPr>
        <w:t>self-adhesive strips</w:t>
      </w:r>
      <w:r w:rsidRPr="00434396">
        <w:rPr>
          <w:rFonts w:ascii="Arial" w:hAnsi="Arial" w:cs="Arial"/>
          <w:lang w:val="en-GB"/>
        </w:rPr>
        <w:t xml:space="preserve"> </w:t>
      </w:r>
      <w:r>
        <w:rPr>
          <w:rFonts w:ascii="Arial" w:hAnsi="Arial" w:cs="Arial"/>
          <w:lang w:val="en-GB"/>
        </w:rPr>
        <w:t>or s</w:t>
      </w:r>
      <w:r w:rsidR="00A400F6" w:rsidRPr="00434396">
        <w:rPr>
          <w:rFonts w:ascii="Arial" w:hAnsi="Arial" w:cs="Arial"/>
          <w:lang w:val="en-GB"/>
        </w:rPr>
        <w:t>crews and thus can be temporarily removed to permit redecoration or maintenance. Screws provide a secure form of fixing and avoid the problems associated with adhesiv</w:t>
      </w:r>
      <w:r>
        <w:rPr>
          <w:rFonts w:ascii="Arial" w:hAnsi="Arial" w:cs="Arial"/>
          <w:lang w:val="en-GB"/>
        </w:rPr>
        <w:t>e strips or staples.</w:t>
      </w:r>
    </w:p>
    <w:p w14:paraId="53122B9F" w14:textId="77777777" w:rsidR="00A400F6" w:rsidRPr="00434396" w:rsidRDefault="00A400F6" w:rsidP="00CE4C86">
      <w:pPr>
        <w:jc w:val="both"/>
        <w:rPr>
          <w:rFonts w:ascii="Arial" w:hAnsi="Arial" w:cs="Arial"/>
          <w:lang w:val="en-GB"/>
        </w:rPr>
      </w:pPr>
    </w:p>
    <w:p w14:paraId="7B20470E" w14:textId="7A8FD669" w:rsidR="00A400F6" w:rsidRPr="00434396" w:rsidRDefault="00A400F6" w:rsidP="00CE4C86">
      <w:pPr>
        <w:jc w:val="both"/>
        <w:rPr>
          <w:rFonts w:ascii="Arial" w:hAnsi="Arial" w:cs="Arial"/>
          <w:lang w:val="en-GB"/>
        </w:rPr>
      </w:pPr>
      <w:r w:rsidRPr="00434396">
        <w:rPr>
          <w:rFonts w:ascii="Arial" w:hAnsi="Arial" w:cs="Arial"/>
          <w:lang w:val="en-GB"/>
        </w:rPr>
        <w:t xml:space="preserve">All devices are sold as door length strips, usually just under 2 metres (6ft 6ins) in length. As only the lower part of a door hinge area poses a foreseeable danger to children, there is an argument that one strip could be cut in half and used to protect 2 doors. Except for locations such as nurseries where young children are likely to touch a door at or near floor level, it might be appropriate to start the bottom of the strip at about 25 cms (10 inches) from the floor. However, half-length strips may not look as neat as a full height device, may be more vulnerable to damage and give no protection for taller older persons, </w:t>
      </w:r>
      <w:r w:rsidR="00017200">
        <w:rPr>
          <w:rFonts w:ascii="Arial" w:hAnsi="Arial" w:cs="Arial"/>
          <w:lang w:val="en-GB"/>
        </w:rPr>
        <w:t>-</w:t>
      </w:r>
      <w:r w:rsidRPr="00434396">
        <w:rPr>
          <w:rFonts w:ascii="Arial" w:hAnsi="Arial" w:cs="Arial"/>
          <w:lang w:val="en-GB"/>
        </w:rPr>
        <w:t xml:space="preserve">although such persons are normally less likely to have injuries at doors. If you opt to use </w:t>
      </w:r>
      <w:r w:rsidR="00BC30A5" w:rsidRPr="00434396">
        <w:rPr>
          <w:rFonts w:ascii="Arial" w:hAnsi="Arial" w:cs="Arial"/>
          <w:lang w:val="en-GB"/>
        </w:rPr>
        <w:t>half-length</w:t>
      </w:r>
      <w:r w:rsidRPr="00434396">
        <w:rPr>
          <w:rFonts w:ascii="Arial" w:hAnsi="Arial" w:cs="Arial"/>
          <w:lang w:val="en-GB"/>
        </w:rPr>
        <w:t xml:space="preserve"> devices, carry out a risk assessment in relation to the locations of the doors and users, including a check that no child can reach the top of any half-length installation.</w:t>
      </w:r>
    </w:p>
    <w:p w14:paraId="2052CB31" w14:textId="77777777" w:rsidR="00A400F6" w:rsidRPr="00434396" w:rsidRDefault="00A400F6" w:rsidP="00CE4C86">
      <w:pPr>
        <w:jc w:val="both"/>
        <w:rPr>
          <w:rFonts w:ascii="Arial" w:hAnsi="Arial" w:cs="Arial"/>
          <w:lang w:val="en-GB"/>
        </w:rPr>
      </w:pPr>
    </w:p>
    <w:p w14:paraId="2349C7E2" w14:textId="77777777" w:rsidR="00A400F6" w:rsidRPr="000A7C27" w:rsidRDefault="00D221EC" w:rsidP="00D221EC">
      <w:pPr>
        <w:pStyle w:val="Heading1"/>
        <w:numPr>
          <w:ilvl w:val="0"/>
          <w:numId w:val="9"/>
        </w:numPr>
        <w:rPr>
          <w:rFonts w:ascii="Arial" w:hAnsi="Arial" w:cs="Arial"/>
          <w:sz w:val="24"/>
          <w:szCs w:val="24"/>
          <w:lang w:val="en-GB"/>
        </w:rPr>
      </w:pPr>
      <w:bookmarkStart w:id="6" w:name="_Toc85196626"/>
      <w:r>
        <w:rPr>
          <w:rFonts w:ascii="Arial" w:hAnsi="Arial" w:cs="Arial"/>
          <w:sz w:val="24"/>
          <w:szCs w:val="24"/>
          <w:lang w:val="en-GB"/>
        </w:rPr>
        <w:t>Before O</w:t>
      </w:r>
      <w:r w:rsidR="00A400F6" w:rsidRPr="000A7C27">
        <w:rPr>
          <w:rFonts w:ascii="Arial" w:hAnsi="Arial" w:cs="Arial"/>
          <w:sz w:val="24"/>
          <w:szCs w:val="24"/>
          <w:lang w:val="en-GB"/>
        </w:rPr>
        <w:t>rdering</w:t>
      </w:r>
      <w:bookmarkEnd w:id="6"/>
    </w:p>
    <w:p w14:paraId="6085DB9A" w14:textId="77777777" w:rsidR="00A400F6" w:rsidRPr="00434396" w:rsidRDefault="00A400F6" w:rsidP="00CE4C86">
      <w:pPr>
        <w:jc w:val="both"/>
        <w:rPr>
          <w:rFonts w:ascii="Arial" w:hAnsi="Arial" w:cs="Arial"/>
          <w:lang w:val="en-GB"/>
        </w:rPr>
      </w:pPr>
    </w:p>
    <w:p w14:paraId="0A468D1F" w14:textId="77777777" w:rsidR="00434396" w:rsidRDefault="00A400F6" w:rsidP="00CE4C86">
      <w:pPr>
        <w:jc w:val="both"/>
        <w:rPr>
          <w:rFonts w:ascii="Arial" w:hAnsi="Arial" w:cs="Arial"/>
          <w:lang w:val="en-GB"/>
        </w:rPr>
      </w:pPr>
      <w:r w:rsidRPr="00434396">
        <w:rPr>
          <w:rFonts w:ascii="Arial" w:hAnsi="Arial" w:cs="Arial"/>
          <w:lang w:val="en-GB"/>
        </w:rPr>
        <w:t xml:space="preserve">Before ordering any product, it is advisable to check details with the maker, including design, colour, fitting instructions, prices, </w:t>
      </w:r>
      <w:r w:rsidR="00000B2C" w:rsidRPr="00434396">
        <w:rPr>
          <w:rFonts w:ascii="Arial" w:hAnsi="Arial" w:cs="Arial"/>
          <w:lang w:val="en-GB"/>
        </w:rPr>
        <w:t>and discounts</w:t>
      </w:r>
      <w:r w:rsidRPr="00434396">
        <w:rPr>
          <w:rFonts w:ascii="Arial" w:hAnsi="Arial" w:cs="Arial"/>
          <w:lang w:val="en-GB"/>
        </w:rPr>
        <w:t xml:space="preserve"> for buying multiple units, delivery charges and guarantees about durability</w:t>
      </w:r>
      <w:r w:rsidR="00434396">
        <w:rPr>
          <w:rFonts w:ascii="Arial" w:hAnsi="Arial" w:cs="Arial"/>
          <w:lang w:val="en-GB"/>
        </w:rPr>
        <w:t>.</w:t>
      </w:r>
    </w:p>
    <w:p w14:paraId="4FA0A07F" w14:textId="77777777" w:rsidR="00434396" w:rsidRDefault="00434396" w:rsidP="00CE4C86">
      <w:pPr>
        <w:jc w:val="both"/>
        <w:rPr>
          <w:rFonts w:ascii="Arial" w:hAnsi="Arial" w:cs="Arial"/>
          <w:lang w:val="en-GB"/>
        </w:rPr>
      </w:pPr>
    </w:p>
    <w:p w14:paraId="603A17DA" w14:textId="77777777" w:rsidR="00A400F6" w:rsidRPr="000A7C27" w:rsidRDefault="00434396" w:rsidP="00D221EC">
      <w:pPr>
        <w:pStyle w:val="Heading1"/>
        <w:numPr>
          <w:ilvl w:val="0"/>
          <w:numId w:val="9"/>
        </w:numPr>
        <w:rPr>
          <w:rFonts w:ascii="Arial" w:hAnsi="Arial" w:cs="Arial"/>
          <w:sz w:val="24"/>
          <w:szCs w:val="24"/>
          <w:lang w:val="en-GB"/>
        </w:rPr>
      </w:pPr>
      <w:bookmarkStart w:id="7" w:name="_Toc85196627"/>
      <w:r w:rsidRPr="000A7C27">
        <w:rPr>
          <w:rFonts w:ascii="Arial" w:hAnsi="Arial" w:cs="Arial"/>
          <w:sz w:val="24"/>
          <w:szCs w:val="24"/>
          <w:lang w:val="en-GB"/>
        </w:rPr>
        <w:t>Checks after I</w:t>
      </w:r>
      <w:r w:rsidR="00A400F6" w:rsidRPr="000A7C27">
        <w:rPr>
          <w:rFonts w:ascii="Arial" w:hAnsi="Arial" w:cs="Arial"/>
          <w:sz w:val="24"/>
          <w:szCs w:val="24"/>
          <w:lang w:val="en-GB"/>
        </w:rPr>
        <w:t>nstallation</w:t>
      </w:r>
      <w:bookmarkEnd w:id="7"/>
    </w:p>
    <w:p w14:paraId="2FB1FFBB" w14:textId="77777777" w:rsidR="00A400F6" w:rsidRPr="00434396" w:rsidRDefault="00A400F6" w:rsidP="00CE4C86">
      <w:pPr>
        <w:jc w:val="both"/>
        <w:rPr>
          <w:rFonts w:ascii="Arial" w:hAnsi="Arial" w:cs="Arial"/>
          <w:lang w:val="en-GB"/>
        </w:rPr>
      </w:pPr>
    </w:p>
    <w:p w14:paraId="5AAC743C" w14:textId="2DCD7E47" w:rsidR="00434396" w:rsidRDefault="00294938" w:rsidP="00CE4C86">
      <w:pPr>
        <w:jc w:val="both"/>
        <w:rPr>
          <w:rFonts w:ascii="Arial" w:hAnsi="Arial" w:cs="Arial"/>
          <w:lang w:val="en-GB"/>
        </w:rPr>
      </w:pPr>
      <w:r>
        <w:rPr>
          <w:rFonts w:ascii="Arial" w:hAnsi="Arial" w:cs="Arial"/>
          <w:lang w:val="en-GB"/>
        </w:rPr>
        <w:t>Y</w:t>
      </w:r>
      <w:r w:rsidR="00A400F6" w:rsidRPr="00434396">
        <w:rPr>
          <w:rFonts w:ascii="Arial" w:hAnsi="Arial" w:cs="Arial"/>
          <w:lang w:val="en-GB"/>
        </w:rPr>
        <w:t xml:space="preserve">ou should </w:t>
      </w:r>
      <w:r>
        <w:rPr>
          <w:rFonts w:ascii="Arial" w:hAnsi="Arial" w:cs="Arial"/>
          <w:lang w:val="en-GB"/>
        </w:rPr>
        <w:t xml:space="preserve">ensure that </w:t>
      </w:r>
      <w:r w:rsidR="00A400F6" w:rsidRPr="00434396">
        <w:rPr>
          <w:rFonts w:ascii="Arial" w:hAnsi="Arial" w:cs="Arial"/>
          <w:lang w:val="en-GB"/>
        </w:rPr>
        <w:t xml:space="preserve">a </w:t>
      </w:r>
      <w:r>
        <w:rPr>
          <w:rFonts w:ascii="Arial" w:hAnsi="Arial" w:cs="Arial"/>
          <w:lang w:val="en-GB"/>
        </w:rPr>
        <w:t xml:space="preserve">regime </w:t>
      </w:r>
      <w:r w:rsidR="00A400F6" w:rsidRPr="00434396">
        <w:rPr>
          <w:rFonts w:ascii="Arial" w:hAnsi="Arial" w:cs="Arial"/>
          <w:lang w:val="en-GB"/>
        </w:rPr>
        <w:t xml:space="preserve">of regular visual inspection </w:t>
      </w:r>
      <w:r>
        <w:rPr>
          <w:rFonts w:ascii="Arial" w:hAnsi="Arial" w:cs="Arial"/>
          <w:lang w:val="en-GB"/>
        </w:rPr>
        <w:t xml:space="preserve">is implemented </w:t>
      </w:r>
      <w:r w:rsidR="00A400F6" w:rsidRPr="00434396">
        <w:rPr>
          <w:rFonts w:ascii="Arial" w:hAnsi="Arial" w:cs="Arial"/>
          <w:lang w:val="en-GB"/>
        </w:rPr>
        <w:t>to check for damage (caused for example by trolley impact) or deterioration of the means of fixing so that appropriat</w:t>
      </w:r>
      <w:r>
        <w:rPr>
          <w:rFonts w:ascii="Arial" w:hAnsi="Arial" w:cs="Arial"/>
          <w:lang w:val="en-GB"/>
        </w:rPr>
        <w:t>e remedial action can be taken.</w:t>
      </w:r>
    </w:p>
    <w:p w14:paraId="24F410B1" w14:textId="77777777" w:rsidR="00434396" w:rsidRDefault="00434396" w:rsidP="00CE4C86">
      <w:pPr>
        <w:jc w:val="both"/>
        <w:rPr>
          <w:rFonts w:ascii="Arial" w:hAnsi="Arial" w:cs="Arial"/>
          <w:lang w:val="en-GB"/>
        </w:rPr>
      </w:pPr>
    </w:p>
    <w:p w14:paraId="4231298C" w14:textId="77777777" w:rsidR="00A400F6" w:rsidRPr="00434396" w:rsidRDefault="00A400F6" w:rsidP="00CE4C86">
      <w:pPr>
        <w:jc w:val="both"/>
        <w:rPr>
          <w:rFonts w:ascii="Arial" w:hAnsi="Arial" w:cs="Arial"/>
          <w:lang w:val="en-GB"/>
        </w:rPr>
      </w:pPr>
      <w:r w:rsidRPr="00434396">
        <w:rPr>
          <w:rFonts w:ascii="Arial" w:hAnsi="Arial" w:cs="Arial"/>
          <w:lang w:val="en-GB"/>
        </w:rPr>
        <w:t>In addition, staff should be encouraged to be vigilant for and report damaged devices. Furthermore, there are good reasons why pupils and young people should be informed about the trapping hazard which exists at doors, the purpose of the devices and the need to tell staff about any damage they spot.</w:t>
      </w:r>
    </w:p>
    <w:p w14:paraId="7313B221" w14:textId="77777777" w:rsidR="00A400F6" w:rsidRDefault="00A400F6" w:rsidP="00CE4C86">
      <w:pPr>
        <w:jc w:val="both"/>
        <w:rPr>
          <w:rFonts w:ascii="Arial" w:hAnsi="Arial" w:cs="Arial"/>
          <w:lang w:val="en-GB"/>
        </w:rPr>
      </w:pPr>
    </w:p>
    <w:p w14:paraId="55A586C3" w14:textId="77777777" w:rsidR="001724F8" w:rsidRPr="000A7C27" w:rsidRDefault="001724F8" w:rsidP="00D221EC">
      <w:pPr>
        <w:pStyle w:val="Heading1"/>
        <w:numPr>
          <w:ilvl w:val="0"/>
          <w:numId w:val="9"/>
        </w:numPr>
        <w:rPr>
          <w:rFonts w:ascii="Arial" w:hAnsi="Arial" w:cs="Arial"/>
          <w:sz w:val="24"/>
          <w:szCs w:val="24"/>
          <w:lang w:val="en-GB"/>
        </w:rPr>
      </w:pPr>
      <w:bookmarkStart w:id="8" w:name="_Toc85196628"/>
      <w:r w:rsidRPr="000A7C27">
        <w:rPr>
          <w:rFonts w:ascii="Arial" w:hAnsi="Arial" w:cs="Arial"/>
          <w:sz w:val="24"/>
          <w:szCs w:val="24"/>
          <w:lang w:val="en-GB"/>
        </w:rPr>
        <w:lastRenderedPageBreak/>
        <w:t>Purchasing</w:t>
      </w:r>
      <w:bookmarkEnd w:id="8"/>
    </w:p>
    <w:p w14:paraId="4A2FBA89" w14:textId="77777777" w:rsidR="001724F8" w:rsidRDefault="001724F8" w:rsidP="00CE4C86">
      <w:pPr>
        <w:jc w:val="both"/>
        <w:rPr>
          <w:rFonts w:ascii="Arial" w:hAnsi="Arial" w:cs="Arial"/>
          <w:b/>
          <w:lang w:val="en-GB"/>
        </w:rPr>
      </w:pPr>
    </w:p>
    <w:p w14:paraId="2413EF7D" w14:textId="77777777" w:rsidR="001724F8" w:rsidRPr="001724F8" w:rsidRDefault="001724F8" w:rsidP="00CE4C86">
      <w:pPr>
        <w:jc w:val="both"/>
        <w:rPr>
          <w:rFonts w:ascii="Arial" w:hAnsi="Arial" w:cs="Arial"/>
          <w:lang w:val="en-GB"/>
        </w:rPr>
      </w:pPr>
      <w:r w:rsidRPr="001724F8">
        <w:rPr>
          <w:rFonts w:ascii="Arial" w:hAnsi="Arial" w:cs="Arial"/>
          <w:lang w:val="en-GB"/>
        </w:rPr>
        <w:t>Head teachers should contact their respective Facility Management for suppliers of finger</w:t>
      </w:r>
      <w:r>
        <w:rPr>
          <w:rFonts w:ascii="Arial" w:hAnsi="Arial" w:cs="Arial"/>
          <w:lang w:val="en-GB"/>
        </w:rPr>
        <w:t xml:space="preserve"> </w:t>
      </w:r>
      <w:r w:rsidRPr="001724F8">
        <w:rPr>
          <w:rFonts w:ascii="Arial" w:hAnsi="Arial" w:cs="Arial"/>
          <w:lang w:val="en-GB"/>
        </w:rPr>
        <w:t xml:space="preserve">guards. </w:t>
      </w:r>
    </w:p>
    <w:p w14:paraId="2BD76075" w14:textId="77777777" w:rsidR="00A400F6" w:rsidRDefault="00A400F6">
      <w:pPr>
        <w:jc w:val="both"/>
        <w:rPr>
          <w:rFonts w:ascii="Arial" w:hAnsi="Arial" w:cs="Arial"/>
          <w:lang w:val="en-GB"/>
        </w:rPr>
      </w:pPr>
    </w:p>
    <w:p w14:paraId="009C3E60" w14:textId="77777777" w:rsidR="00E90040" w:rsidRDefault="00E90040">
      <w:pPr>
        <w:jc w:val="both"/>
        <w:rPr>
          <w:rFonts w:ascii="Arial" w:hAnsi="Arial" w:cs="Arial"/>
          <w:lang w:val="en-GB"/>
        </w:rPr>
      </w:pPr>
    </w:p>
    <w:p w14:paraId="0511A280" w14:textId="77777777" w:rsidR="00E90040" w:rsidRPr="00D221EC" w:rsidRDefault="00E90040" w:rsidP="00D221EC">
      <w:pPr>
        <w:pStyle w:val="Heading1"/>
        <w:numPr>
          <w:ilvl w:val="0"/>
          <w:numId w:val="9"/>
        </w:numPr>
        <w:rPr>
          <w:rFonts w:ascii="Arial" w:hAnsi="Arial" w:cs="Arial"/>
          <w:sz w:val="24"/>
          <w:szCs w:val="24"/>
          <w:lang w:val="en-GB"/>
        </w:rPr>
      </w:pPr>
      <w:bookmarkStart w:id="9" w:name="_Toc206911130"/>
      <w:bookmarkStart w:id="10" w:name="_Toc85196629"/>
      <w:r w:rsidRPr="00D221EC">
        <w:rPr>
          <w:rFonts w:ascii="Arial" w:hAnsi="Arial" w:cs="Arial"/>
          <w:sz w:val="24"/>
          <w:szCs w:val="24"/>
          <w:lang w:val="en-GB"/>
        </w:rPr>
        <w:t>Version Control</w:t>
      </w:r>
      <w:bookmarkEnd w:id="9"/>
      <w:bookmarkEnd w:id="10"/>
    </w:p>
    <w:p w14:paraId="1093AFC4" w14:textId="2CC01C5E" w:rsidR="00E90040" w:rsidRDefault="00E90040" w:rsidP="00E90040">
      <w:pPr>
        <w:rPr>
          <w:rFonts w:ascii="Arial" w:hAnsi="Arial" w:cs="Arial"/>
          <w:sz w:val="20"/>
        </w:rPr>
      </w:pPr>
    </w:p>
    <w:p w14:paraId="610D1CF6" w14:textId="77777777" w:rsidR="0029329E" w:rsidRPr="0091001A" w:rsidRDefault="0029329E" w:rsidP="00E9004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3583"/>
        <w:gridCol w:w="2131"/>
      </w:tblGrid>
      <w:tr w:rsidR="00E90040" w:rsidRPr="007813F9" w14:paraId="0A388C5D" w14:textId="77777777" w:rsidTr="003F2CFC">
        <w:tc>
          <w:tcPr>
            <w:tcW w:w="1188" w:type="dxa"/>
            <w:shd w:val="clear" w:color="auto" w:fill="auto"/>
          </w:tcPr>
          <w:p w14:paraId="0CCAB813" w14:textId="77777777" w:rsidR="00E90040" w:rsidRPr="00D221EC" w:rsidRDefault="00E90040" w:rsidP="003F2CFC">
            <w:pPr>
              <w:jc w:val="center"/>
              <w:rPr>
                <w:rFonts w:ascii="Arial" w:hAnsi="Arial" w:cs="Arial"/>
                <w:lang w:val="en-GB"/>
              </w:rPr>
            </w:pPr>
            <w:r w:rsidRPr="00D221EC">
              <w:rPr>
                <w:rFonts w:ascii="Arial" w:hAnsi="Arial" w:cs="Arial"/>
                <w:lang w:val="en-GB"/>
              </w:rPr>
              <w:t>Version Control</w:t>
            </w:r>
          </w:p>
        </w:tc>
        <w:tc>
          <w:tcPr>
            <w:tcW w:w="1620" w:type="dxa"/>
            <w:shd w:val="clear" w:color="auto" w:fill="auto"/>
          </w:tcPr>
          <w:p w14:paraId="58045825" w14:textId="77777777" w:rsidR="00E90040" w:rsidRPr="00D221EC" w:rsidRDefault="00E90040" w:rsidP="003F2CFC">
            <w:pPr>
              <w:jc w:val="center"/>
              <w:rPr>
                <w:rFonts w:ascii="Arial" w:hAnsi="Arial" w:cs="Arial"/>
                <w:lang w:val="en-GB"/>
              </w:rPr>
            </w:pPr>
            <w:r w:rsidRPr="00D221EC">
              <w:rPr>
                <w:rFonts w:ascii="Arial" w:hAnsi="Arial" w:cs="Arial"/>
                <w:lang w:val="en-GB"/>
              </w:rPr>
              <w:t>Date Released</w:t>
            </w:r>
          </w:p>
        </w:tc>
        <w:tc>
          <w:tcPr>
            <w:tcW w:w="3583" w:type="dxa"/>
            <w:shd w:val="clear" w:color="auto" w:fill="auto"/>
          </w:tcPr>
          <w:p w14:paraId="39B66C06" w14:textId="77777777" w:rsidR="00E90040" w:rsidRPr="00D221EC" w:rsidRDefault="00E90040" w:rsidP="003F2CFC">
            <w:pPr>
              <w:jc w:val="center"/>
              <w:rPr>
                <w:rFonts w:ascii="Arial" w:hAnsi="Arial" w:cs="Arial"/>
                <w:lang w:val="en-GB"/>
              </w:rPr>
            </w:pPr>
            <w:r w:rsidRPr="00D221EC">
              <w:rPr>
                <w:rFonts w:ascii="Arial" w:hAnsi="Arial" w:cs="Arial"/>
                <w:lang w:val="en-GB"/>
              </w:rPr>
              <w:t>Approved By</w:t>
            </w:r>
          </w:p>
        </w:tc>
        <w:tc>
          <w:tcPr>
            <w:tcW w:w="2131" w:type="dxa"/>
            <w:shd w:val="clear" w:color="auto" w:fill="auto"/>
          </w:tcPr>
          <w:p w14:paraId="265AF367" w14:textId="77777777" w:rsidR="00E90040" w:rsidRPr="00D221EC" w:rsidRDefault="00E90040" w:rsidP="003F2CFC">
            <w:pPr>
              <w:jc w:val="center"/>
              <w:rPr>
                <w:rFonts w:ascii="Arial" w:hAnsi="Arial" w:cs="Arial"/>
                <w:lang w:val="en-GB"/>
              </w:rPr>
            </w:pPr>
            <w:r w:rsidRPr="00D221EC">
              <w:rPr>
                <w:rFonts w:ascii="Arial" w:hAnsi="Arial" w:cs="Arial"/>
                <w:lang w:val="en-GB"/>
              </w:rPr>
              <w:t>Amendment</w:t>
            </w:r>
          </w:p>
        </w:tc>
      </w:tr>
      <w:tr w:rsidR="00E90040" w:rsidRPr="007813F9" w14:paraId="2AA1B6A9" w14:textId="77777777" w:rsidTr="003F2CFC">
        <w:tc>
          <w:tcPr>
            <w:tcW w:w="1188" w:type="dxa"/>
            <w:shd w:val="clear" w:color="auto" w:fill="auto"/>
          </w:tcPr>
          <w:p w14:paraId="366D8C60" w14:textId="77777777" w:rsidR="00E90040" w:rsidRPr="007813F9" w:rsidRDefault="00E90040" w:rsidP="003F2CFC">
            <w:pPr>
              <w:rPr>
                <w:rFonts w:ascii="Arial" w:hAnsi="Arial" w:cs="Arial"/>
                <w:sz w:val="20"/>
              </w:rPr>
            </w:pPr>
            <w:r w:rsidRPr="007813F9">
              <w:rPr>
                <w:rFonts w:ascii="Arial" w:hAnsi="Arial" w:cs="Arial"/>
                <w:sz w:val="20"/>
              </w:rPr>
              <w:t>1</w:t>
            </w:r>
          </w:p>
        </w:tc>
        <w:tc>
          <w:tcPr>
            <w:tcW w:w="1620" w:type="dxa"/>
            <w:shd w:val="clear" w:color="auto" w:fill="auto"/>
          </w:tcPr>
          <w:p w14:paraId="23AF0862" w14:textId="77777777" w:rsidR="00E90040" w:rsidRPr="007813F9" w:rsidRDefault="00E90040" w:rsidP="003F2CFC">
            <w:pPr>
              <w:rPr>
                <w:rFonts w:ascii="Arial" w:hAnsi="Arial" w:cs="Arial"/>
                <w:sz w:val="20"/>
              </w:rPr>
            </w:pPr>
            <w:r w:rsidRPr="007813F9">
              <w:rPr>
                <w:rFonts w:ascii="Arial" w:hAnsi="Arial" w:cs="Arial"/>
                <w:sz w:val="20"/>
              </w:rPr>
              <w:t>March 2010</w:t>
            </w:r>
          </w:p>
        </w:tc>
        <w:tc>
          <w:tcPr>
            <w:tcW w:w="3583" w:type="dxa"/>
            <w:shd w:val="clear" w:color="auto" w:fill="auto"/>
          </w:tcPr>
          <w:p w14:paraId="0CE15259" w14:textId="77777777" w:rsidR="00E90040" w:rsidRPr="007813F9" w:rsidRDefault="00E90040" w:rsidP="003F2CFC">
            <w:pPr>
              <w:rPr>
                <w:rFonts w:ascii="Arial" w:hAnsi="Arial" w:cs="Arial"/>
                <w:sz w:val="20"/>
              </w:rPr>
            </w:pPr>
            <w:r w:rsidRPr="007813F9">
              <w:rPr>
                <w:rFonts w:ascii="Arial" w:hAnsi="Arial" w:cs="Arial"/>
                <w:sz w:val="20"/>
              </w:rPr>
              <w:t>Health &amp; Safety</w:t>
            </w:r>
          </w:p>
          <w:p w14:paraId="3B20E365" w14:textId="77777777" w:rsidR="00E90040" w:rsidRPr="007813F9" w:rsidRDefault="00E90040" w:rsidP="003F2CFC">
            <w:pPr>
              <w:rPr>
                <w:rFonts w:ascii="Arial" w:hAnsi="Arial" w:cs="Arial"/>
                <w:sz w:val="20"/>
              </w:rPr>
            </w:pPr>
          </w:p>
        </w:tc>
        <w:tc>
          <w:tcPr>
            <w:tcW w:w="2131" w:type="dxa"/>
            <w:shd w:val="clear" w:color="auto" w:fill="auto"/>
          </w:tcPr>
          <w:p w14:paraId="77C062F8" w14:textId="77777777" w:rsidR="00E90040" w:rsidRPr="007813F9" w:rsidRDefault="00E90040" w:rsidP="003F2CFC">
            <w:pPr>
              <w:rPr>
                <w:rFonts w:ascii="Arial" w:hAnsi="Arial" w:cs="Arial"/>
                <w:sz w:val="20"/>
              </w:rPr>
            </w:pPr>
            <w:r w:rsidRPr="007813F9">
              <w:rPr>
                <w:rFonts w:ascii="Arial" w:hAnsi="Arial" w:cs="Arial"/>
                <w:sz w:val="20"/>
              </w:rPr>
              <w:t>Document created</w:t>
            </w:r>
          </w:p>
        </w:tc>
      </w:tr>
      <w:tr w:rsidR="00D221EC" w:rsidRPr="007813F9" w14:paraId="18445A35" w14:textId="77777777" w:rsidTr="003F2CFC">
        <w:tc>
          <w:tcPr>
            <w:tcW w:w="1188" w:type="dxa"/>
            <w:shd w:val="clear" w:color="auto" w:fill="auto"/>
          </w:tcPr>
          <w:p w14:paraId="18E940E5" w14:textId="77777777" w:rsidR="00D221EC" w:rsidRPr="007813F9" w:rsidRDefault="00D221EC" w:rsidP="006B0BF8">
            <w:pPr>
              <w:rPr>
                <w:rFonts w:ascii="Arial" w:hAnsi="Arial" w:cs="Arial"/>
                <w:sz w:val="20"/>
              </w:rPr>
            </w:pPr>
            <w:r w:rsidRPr="007813F9">
              <w:rPr>
                <w:rFonts w:ascii="Arial" w:hAnsi="Arial" w:cs="Arial"/>
                <w:sz w:val="20"/>
              </w:rPr>
              <w:t>2</w:t>
            </w:r>
          </w:p>
        </w:tc>
        <w:tc>
          <w:tcPr>
            <w:tcW w:w="1620" w:type="dxa"/>
            <w:shd w:val="clear" w:color="auto" w:fill="auto"/>
          </w:tcPr>
          <w:p w14:paraId="476B6051" w14:textId="77777777" w:rsidR="00D221EC" w:rsidRPr="007813F9" w:rsidRDefault="00D221EC" w:rsidP="006B0BF8">
            <w:pPr>
              <w:rPr>
                <w:rFonts w:ascii="Arial" w:hAnsi="Arial" w:cs="Arial"/>
                <w:sz w:val="20"/>
              </w:rPr>
            </w:pPr>
            <w:r>
              <w:rPr>
                <w:rFonts w:ascii="Arial" w:hAnsi="Arial" w:cs="Arial"/>
                <w:sz w:val="20"/>
              </w:rPr>
              <w:t xml:space="preserve">July </w:t>
            </w:r>
            <w:r w:rsidRPr="007813F9">
              <w:rPr>
                <w:rFonts w:ascii="Arial" w:hAnsi="Arial" w:cs="Arial"/>
                <w:sz w:val="20"/>
              </w:rPr>
              <w:t>2012</w:t>
            </w:r>
          </w:p>
        </w:tc>
        <w:tc>
          <w:tcPr>
            <w:tcW w:w="3583" w:type="dxa"/>
            <w:shd w:val="clear" w:color="auto" w:fill="auto"/>
          </w:tcPr>
          <w:p w14:paraId="7D5AD611" w14:textId="77777777" w:rsidR="00D221EC" w:rsidRPr="007813F9" w:rsidRDefault="00D221EC" w:rsidP="006B0BF8">
            <w:pPr>
              <w:rPr>
                <w:rFonts w:ascii="Arial" w:hAnsi="Arial" w:cs="Arial"/>
                <w:sz w:val="20"/>
              </w:rPr>
            </w:pPr>
            <w:r w:rsidRPr="007813F9">
              <w:rPr>
                <w:rFonts w:ascii="Arial" w:hAnsi="Arial" w:cs="Arial"/>
                <w:sz w:val="20"/>
              </w:rPr>
              <w:t>Health &amp; Safety</w:t>
            </w:r>
          </w:p>
        </w:tc>
        <w:tc>
          <w:tcPr>
            <w:tcW w:w="2131" w:type="dxa"/>
            <w:shd w:val="clear" w:color="auto" w:fill="auto"/>
          </w:tcPr>
          <w:p w14:paraId="20D357CB" w14:textId="77777777" w:rsidR="00D221EC" w:rsidRPr="007813F9" w:rsidRDefault="00D221EC" w:rsidP="006B0BF8">
            <w:pPr>
              <w:rPr>
                <w:rFonts w:ascii="Arial" w:hAnsi="Arial" w:cs="Arial"/>
                <w:sz w:val="20"/>
              </w:rPr>
            </w:pPr>
            <w:r w:rsidRPr="007813F9">
              <w:rPr>
                <w:rFonts w:ascii="Arial" w:hAnsi="Arial" w:cs="Arial"/>
                <w:sz w:val="20"/>
              </w:rPr>
              <w:t>Document reviewed with minor changes</w:t>
            </w:r>
          </w:p>
          <w:p w14:paraId="66DBC5E9" w14:textId="77777777" w:rsidR="00D221EC" w:rsidRPr="007813F9" w:rsidRDefault="00D221EC" w:rsidP="006B0BF8">
            <w:pPr>
              <w:rPr>
                <w:rFonts w:ascii="Arial" w:hAnsi="Arial" w:cs="Arial"/>
                <w:sz w:val="20"/>
              </w:rPr>
            </w:pPr>
          </w:p>
        </w:tc>
      </w:tr>
      <w:tr w:rsidR="00D221EC" w:rsidRPr="007813F9" w14:paraId="137B6B17" w14:textId="77777777" w:rsidTr="003F2CFC">
        <w:tc>
          <w:tcPr>
            <w:tcW w:w="1188" w:type="dxa"/>
            <w:shd w:val="clear" w:color="auto" w:fill="auto"/>
          </w:tcPr>
          <w:p w14:paraId="11455F93" w14:textId="77777777" w:rsidR="00D221EC" w:rsidRPr="007813F9" w:rsidRDefault="00D221EC" w:rsidP="003F2CFC">
            <w:pPr>
              <w:rPr>
                <w:rFonts w:ascii="Arial" w:hAnsi="Arial" w:cs="Arial"/>
                <w:sz w:val="20"/>
              </w:rPr>
            </w:pPr>
            <w:r>
              <w:rPr>
                <w:rFonts w:ascii="Arial" w:hAnsi="Arial" w:cs="Arial"/>
                <w:sz w:val="20"/>
              </w:rPr>
              <w:t>3</w:t>
            </w:r>
          </w:p>
        </w:tc>
        <w:tc>
          <w:tcPr>
            <w:tcW w:w="1620" w:type="dxa"/>
            <w:shd w:val="clear" w:color="auto" w:fill="auto"/>
          </w:tcPr>
          <w:p w14:paraId="2D704659" w14:textId="77777777" w:rsidR="00D221EC" w:rsidRPr="007813F9" w:rsidRDefault="00D221EC" w:rsidP="003F2CFC">
            <w:pPr>
              <w:rPr>
                <w:rFonts w:ascii="Arial" w:hAnsi="Arial" w:cs="Arial"/>
                <w:sz w:val="20"/>
              </w:rPr>
            </w:pPr>
            <w:r>
              <w:rPr>
                <w:rFonts w:ascii="Arial" w:hAnsi="Arial" w:cs="Arial"/>
                <w:sz w:val="20"/>
              </w:rPr>
              <w:t>October 2015</w:t>
            </w:r>
          </w:p>
        </w:tc>
        <w:tc>
          <w:tcPr>
            <w:tcW w:w="3583" w:type="dxa"/>
            <w:shd w:val="clear" w:color="auto" w:fill="auto"/>
          </w:tcPr>
          <w:p w14:paraId="474783CC" w14:textId="77777777" w:rsidR="00D221EC" w:rsidRPr="007813F9" w:rsidRDefault="00D221EC" w:rsidP="003F2CFC">
            <w:pPr>
              <w:rPr>
                <w:rFonts w:ascii="Arial" w:hAnsi="Arial" w:cs="Arial"/>
                <w:sz w:val="20"/>
              </w:rPr>
            </w:pPr>
            <w:r w:rsidRPr="007813F9">
              <w:rPr>
                <w:rFonts w:ascii="Arial" w:hAnsi="Arial" w:cs="Arial"/>
                <w:sz w:val="20"/>
              </w:rPr>
              <w:t>Health &amp; Safety</w:t>
            </w:r>
          </w:p>
        </w:tc>
        <w:tc>
          <w:tcPr>
            <w:tcW w:w="2131" w:type="dxa"/>
            <w:shd w:val="clear" w:color="auto" w:fill="auto"/>
          </w:tcPr>
          <w:p w14:paraId="1D97FD2E" w14:textId="77777777" w:rsidR="00D221EC" w:rsidRPr="007813F9" w:rsidRDefault="00D221EC" w:rsidP="00D221EC">
            <w:pPr>
              <w:rPr>
                <w:rFonts w:ascii="Arial" w:hAnsi="Arial" w:cs="Arial"/>
                <w:sz w:val="20"/>
              </w:rPr>
            </w:pPr>
            <w:r w:rsidRPr="007813F9">
              <w:rPr>
                <w:rFonts w:ascii="Arial" w:hAnsi="Arial" w:cs="Arial"/>
                <w:sz w:val="20"/>
              </w:rPr>
              <w:t xml:space="preserve">Document reviewed with </w:t>
            </w:r>
            <w:r>
              <w:rPr>
                <w:rFonts w:ascii="Arial" w:hAnsi="Arial" w:cs="Arial"/>
                <w:sz w:val="20"/>
              </w:rPr>
              <w:t>section on areas of risk included</w:t>
            </w:r>
          </w:p>
          <w:p w14:paraId="6AD89FE8" w14:textId="77777777" w:rsidR="00D221EC" w:rsidRPr="007813F9" w:rsidRDefault="00D221EC" w:rsidP="003F2CFC">
            <w:pPr>
              <w:rPr>
                <w:rFonts w:ascii="Arial" w:hAnsi="Arial" w:cs="Arial"/>
                <w:sz w:val="20"/>
              </w:rPr>
            </w:pPr>
          </w:p>
        </w:tc>
      </w:tr>
      <w:tr w:rsidR="00D669C9" w:rsidRPr="007813F9" w14:paraId="46125EF5" w14:textId="77777777" w:rsidTr="003F2CFC">
        <w:tc>
          <w:tcPr>
            <w:tcW w:w="1188" w:type="dxa"/>
            <w:shd w:val="clear" w:color="auto" w:fill="auto"/>
          </w:tcPr>
          <w:p w14:paraId="24F26932" w14:textId="232DAD17" w:rsidR="00D669C9" w:rsidRDefault="00D669C9" w:rsidP="00D669C9">
            <w:pPr>
              <w:rPr>
                <w:rFonts w:ascii="Arial" w:hAnsi="Arial" w:cs="Arial"/>
                <w:sz w:val="20"/>
              </w:rPr>
            </w:pPr>
            <w:r>
              <w:rPr>
                <w:rFonts w:ascii="Arial" w:hAnsi="Arial" w:cs="Arial"/>
                <w:sz w:val="20"/>
              </w:rPr>
              <w:t>4</w:t>
            </w:r>
          </w:p>
        </w:tc>
        <w:tc>
          <w:tcPr>
            <w:tcW w:w="1620" w:type="dxa"/>
            <w:shd w:val="clear" w:color="auto" w:fill="auto"/>
          </w:tcPr>
          <w:p w14:paraId="02BA5AC4" w14:textId="4D89A435" w:rsidR="00D669C9" w:rsidRDefault="00D669C9" w:rsidP="00D669C9">
            <w:pPr>
              <w:rPr>
                <w:rFonts w:ascii="Arial" w:hAnsi="Arial" w:cs="Arial"/>
                <w:sz w:val="20"/>
              </w:rPr>
            </w:pPr>
            <w:r>
              <w:rPr>
                <w:rFonts w:ascii="Arial" w:hAnsi="Arial" w:cs="Arial"/>
                <w:sz w:val="20"/>
              </w:rPr>
              <w:t>October 2021</w:t>
            </w:r>
          </w:p>
        </w:tc>
        <w:tc>
          <w:tcPr>
            <w:tcW w:w="3583" w:type="dxa"/>
            <w:shd w:val="clear" w:color="auto" w:fill="auto"/>
          </w:tcPr>
          <w:p w14:paraId="4238BC23" w14:textId="5E925C80" w:rsidR="00D669C9" w:rsidRPr="007813F9" w:rsidRDefault="00D669C9" w:rsidP="00D669C9">
            <w:pPr>
              <w:rPr>
                <w:rFonts w:ascii="Arial" w:hAnsi="Arial" w:cs="Arial"/>
                <w:sz w:val="20"/>
              </w:rPr>
            </w:pPr>
            <w:r w:rsidRPr="007813F9">
              <w:rPr>
                <w:rFonts w:ascii="Arial" w:hAnsi="Arial" w:cs="Arial"/>
                <w:sz w:val="20"/>
              </w:rPr>
              <w:t>Health &amp; Safety</w:t>
            </w:r>
          </w:p>
        </w:tc>
        <w:tc>
          <w:tcPr>
            <w:tcW w:w="2131" w:type="dxa"/>
            <w:shd w:val="clear" w:color="auto" w:fill="auto"/>
          </w:tcPr>
          <w:p w14:paraId="2927C643" w14:textId="2F6B4CC9" w:rsidR="00D669C9" w:rsidRPr="007813F9" w:rsidRDefault="00D669C9" w:rsidP="00D669C9">
            <w:pPr>
              <w:rPr>
                <w:rFonts w:ascii="Arial" w:hAnsi="Arial" w:cs="Arial"/>
                <w:sz w:val="20"/>
              </w:rPr>
            </w:pPr>
            <w:r w:rsidRPr="007813F9">
              <w:rPr>
                <w:rFonts w:ascii="Arial" w:hAnsi="Arial" w:cs="Arial"/>
                <w:sz w:val="20"/>
              </w:rPr>
              <w:t xml:space="preserve">Document reviewed with </w:t>
            </w:r>
            <w:r>
              <w:rPr>
                <w:rFonts w:ascii="Arial" w:hAnsi="Arial" w:cs="Arial"/>
                <w:sz w:val="20"/>
              </w:rPr>
              <w:t>minor changes</w:t>
            </w:r>
            <w:r w:rsidR="00294938">
              <w:rPr>
                <w:rFonts w:ascii="Arial" w:hAnsi="Arial" w:cs="Arial"/>
                <w:sz w:val="20"/>
              </w:rPr>
              <w:t xml:space="preserve"> to wording and formatting</w:t>
            </w:r>
            <w:r>
              <w:rPr>
                <w:rFonts w:ascii="Arial" w:hAnsi="Arial" w:cs="Arial"/>
                <w:sz w:val="20"/>
              </w:rPr>
              <w:t>.</w:t>
            </w:r>
          </w:p>
          <w:p w14:paraId="438D3868" w14:textId="77777777" w:rsidR="00D669C9" w:rsidRDefault="00D669C9" w:rsidP="00D669C9">
            <w:pPr>
              <w:rPr>
                <w:rFonts w:ascii="Arial" w:hAnsi="Arial" w:cs="Arial"/>
                <w:sz w:val="20"/>
              </w:rPr>
            </w:pPr>
          </w:p>
          <w:p w14:paraId="6C3A7408" w14:textId="77777777" w:rsidR="00017200" w:rsidRDefault="00017200" w:rsidP="00017200">
            <w:pPr>
              <w:rPr>
                <w:rFonts w:ascii="Arial" w:hAnsi="Arial" w:cs="Arial"/>
                <w:sz w:val="20"/>
              </w:rPr>
            </w:pPr>
            <w:r>
              <w:rPr>
                <w:rFonts w:ascii="Arial" w:hAnsi="Arial" w:cs="Arial"/>
                <w:sz w:val="20"/>
              </w:rPr>
              <w:t>Document updated to Word (.docx) from Word 97-2003 (.doc)</w:t>
            </w:r>
          </w:p>
          <w:p w14:paraId="159667A2" w14:textId="547F602E" w:rsidR="00017200" w:rsidRPr="007813F9" w:rsidRDefault="00017200" w:rsidP="00017200">
            <w:pPr>
              <w:rPr>
                <w:rFonts w:ascii="Arial" w:hAnsi="Arial" w:cs="Arial"/>
                <w:sz w:val="20"/>
              </w:rPr>
            </w:pPr>
          </w:p>
        </w:tc>
      </w:tr>
    </w:tbl>
    <w:p w14:paraId="00C802BD" w14:textId="77777777" w:rsidR="00E90040" w:rsidRPr="00434396" w:rsidRDefault="00E90040">
      <w:pPr>
        <w:jc w:val="both"/>
        <w:rPr>
          <w:rFonts w:ascii="Arial" w:hAnsi="Arial" w:cs="Arial"/>
          <w:lang w:val="en-GB"/>
        </w:rPr>
      </w:pPr>
      <w:bookmarkStart w:id="11" w:name="_GoBack"/>
      <w:bookmarkEnd w:id="11"/>
    </w:p>
    <w:sectPr w:rsidR="00E90040" w:rsidRPr="00434396" w:rsidSect="0029329E">
      <w:footerReference w:type="default" r:id="rId11"/>
      <w:endnotePr>
        <w:numFmt w:val="decimal"/>
      </w:endnotePr>
      <w:type w:val="continuous"/>
      <w:pgSz w:w="11905" w:h="16837"/>
      <w:pgMar w:top="1134" w:right="1134" w:bottom="1134" w:left="1418" w:header="1009"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9CEB" w14:textId="77777777" w:rsidR="00956C85" w:rsidRDefault="00956C85">
      <w:r>
        <w:separator/>
      </w:r>
    </w:p>
  </w:endnote>
  <w:endnote w:type="continuationSeparator" w:id="0">
    <w:p w14:paraId="7BAE69E1" w14:textId="77777777" w:rsidR="00956C85" w:rsidRDefault="00956C85">
      <w:r>
        <w:continuationSeparator/>
      </w:r>
    </w:p>
  </w:endnote>
  <w:endnote w:type="continuationNotice" w:id="1">
    <w:p w14:paraId="20D18660" w14:textId="77777777" w:rsidR="00956C85" w:rsidRDefault="00956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9B9D" w14:textId="77777777" w:rsidR="00956C85" w:rsidRDefault="00956C85" w:rsidP="002E3183">
    <w:pPr>
      <w:pStyle w:val="Footer"/>
      <w:rPr>
        <w:rFonts w:ascii="Arial" w:hAnsi="Arial" w:cs="Arial"/>
        <w:i/>
        <w:sz w:val="16"/>
        <w:szCs w:val="16"/>
      </w:rPr>
    </w:pPr>
  </w:p>
  <w:p w14:paraId="3596DD26" w14:textId="1C8C4A9C" w:rsidR="00956C85" w:rsidRPr="00D669C9" w:rsidRDefault="00956C85" w:rsidP="002E3183">
    <w:pPr>
      <w:pStyle w:val="Footer"/>
      <w:rPr>
        <w:rFonts w:ascii="Arial" w:hAnsi="Arial" w:cs="Arial"/>
        <w:i/>
        <w:sz w:val="16"/>
        <w:szCs w:val="16"/>
      </w:rPr>
    </w:pPr>
    <w:r>
      <w:rPr>
        <w:rFonts w:ascii="Arial" w:hAnsi="Arial" w:cs="Arial"/>
        <w:i/>
        <w:sz w:val="16"/>
        <w:szCs w:val="16"/>
      </w:rPr>
      <w:t>REP-SCH-GUI-7.4</w:t>
    </w:r>
    <w:r>
      <w:rPr>
        <w:rFonts w:ascii="Arial" w:hAnsi="Arial" w:cs="Arial"/>
        <w:i/>
        <w:sz w:val="16"/>
        <w:szCs w:val="16"/>
      </w:rPr>
      <w:tab/>
      <w:t xml:space="preserve">      Finger Protection Guidelines review as required</w:t>
    </w:r>
    <w:r>
      <w:rPr>
        <w:rFonts w:ascii="Arial" w:hAnsi="Arial" w:cs="Arial"/>
        <w:i/>
        <w:sz w:val="16"/>
        <w:szCs w:val="16"/>
      </w:rPr>
      <w:tab/>
    </w:r>
    <w:r w:rsidRPr="00DB079B">
      <w:rPr>
        <w:rFonts w:ascii="Arial" w:hAnsi="Arial" w:cs="Arial"/>
        <w:i/>
        <w:sz w:val="16"/>
        <w:szCs w:val="16"/>
      </w:rPr>
      <w:t xml:space="preserve">Page </w:t>
    </w:r>
    <w:r w:rsidRPr="00DB079B">
      <w:rPr>
        <w:rFonts w:ascii="Arial" w:hAnsi="Arial" w:cs="Arial"/>
        <w:i/>
        <w:sz w:val="16"/>
        <w:szCs w:val="16"/>
      </w:rPr>
      <w:fldChar w:fldCharType="begin"/>
    </w:r>
    <w:r w:rsidRPr="00DB079B">
      <w:rPr>
        <w:rFonts w:ascii="Arial" w:hAnsi="Arial" w:cs="Arial"/>
        <w:i/>
        <w:sz w:val="16"/>
        <w:szCs w:val="16"/>
      </w:rPr>
      <w:instrText xml:space="preserve"> PAGE </w:instrText>
    </w:r>
    <w:r w:rsidRPr="00DB079B">
      <w:rPr>
        <w:rFonts w:ascii="Arial" w:hAnsi="Arial" w:cs="Arial"/>
        <w:i/>
        <w:sz w:val="16"/>
        <w:szCs w:val="16"/>
      </w:rPr>
      <w:fldChar w:fldCharType="separate"/>
    </w:r>
    <w:r w:rsidR="00BC30A5">
      <w:rPr>
        <w:rFonts w:ascii="Arial" w:hAnsi="Arial" w:cs="Arial"/>
        <w:i/>
        <w:noProof/>
        <w:sz w:val="16"/>
        <w:szCs w:val="16"/>
      </w:rPr>
      <w:t>4</w:t>
    </w:r>
    <w:r w:rsidRPr="00DB079B">
      <w:rPr>
        <w:rFonts w:ascii="Arial" w:hAnsi="Arial" w:cs="Arial"/>
        <w:i/>
        <w:sz w:val="16"/>
        <w:szCs w:val="16"/>
      </w:rPr>
      <w:fldChar w:fldCharType="end"/>
    </w:r>
    <w:r w:rsidRPr="00DB079B">
      <w:rPr>
        <w:rFonts w:ascii="Arial" w:hAnsi="Arial" w:cs="Arial"/>
        <w:i/>
        <w:sz w:val="16"/>
        <w:szCs w:val="16"/>
      </w:rPr>
      <w:t xml:space="preserve"> of </w:t>
    </w:r>
    <w:r w:rsidRPr="00DB079B">
      <w:rPr>
        <w:rFonts w:ascii="Arial" w:hAnsi="Arial" w:cs="Arial"/>
        <w:i/>
        <w:sz w:val="16"/>
        <w:szCs w:val="16"/>
      </w:rPr>
      <w:fldChar w:fldCharType="begin"/>
    </w:r>
    <w:r w:rsidRPr="00DB079B">
      <w:rPr>
        <w:rFonts w:ascii="Arial" w:hAnsi="Arial" w:cs="Arial"/>
        <w:i/>
        <w:sz w:val="16"/>
        <w:szCs w:val="16"/>
      </w:rPr>
      <w:instrText xml:space="preserve"> NUMPAGES </w:instrText>
    </w:r>
    <w:r w:rsidRPr="00DB079B">
      <w:rPr>
        <w:rFonts w:ascii="Arial" w:hAnsi="Arial" w:cs="Arial"/>
        <w:i/>
        <w:sz w:val="16"/>
        <w:szCs w:val="16"/>
      </w:rPr>
      <w:fldChar w:fldCharType="separate"/>
    </w:r>
    <w:r w:rsidR="00BC30A5">
      <w:rPr>
        <w:rFonts w:ascii="Arial" w:hAnsi="Arial" w:cs="Arial"/>
        <w:i/>
        <w:noProof/>
        <w:sz w:val="16"/>
        <w:szCs w:val="16"/>
      </w:rPr>
      <w:t>5</w:t>
    </w:r>
    <w:r w:rsidRPr="00DB079B">
      <w:rPr>
        <w:rFonts w:ascii="Arial" w:hAnsi="Arial" w:cs="Arial"/>
        <w:i/>
        <w:sz w:val="16"/>
        <w:szCs w:val="16"/>
      </w:rPr>
      <w:fldChar w:fldCharType="end"/>
    </w:r>
  </w:p>
  <w:p w14:paraId="47E22FAE" w14:textId="27BE57AF" w:rsidR="00956C85" w:rsidRDefault="00956C85" w:rsidP="00000B2C">
    <w:pPr>
      <w:pStyle w:val="Footer"/>
      <w:jc w:val="center"/>
      <w:rPr>
        <w:rFonts w:ascii="Arial" w:hAnsi="Arial" w:cs="Arial"/>
        <w:i/>
        <w:sz w:val="16"/>
        <w:szCs w:val="16"/>
      </w:rPr>
    </w:pPr>
    <w:r w:rsidRPr="007C72AC">
      <w:rPr>
        <w:rFonts w:ascii="Arial" w:hAnsi="Arial" w:cs="Arial"/>
        <w:i/>
        <w:noProof/>
        <w:sz w:val="16"/>
        <w:szCs w:val="16"/>
        <w:lang w:val="en-GB" w:eastAsia="en-GB"/>
      </w:rPr>
      <mc:AlternateContent>
        <mc:Choice Requires="wps">
          <w:drawing>
            <wp:anchor distT="0" distB="0" distL="114300" distR="114300" simplePos="0" relativeHeight="251658240" behindDoc="0" locked="0" layoutInCell="1" allowOverlap="1" wp14:anchorId="029D418A" wp14:editId="6EBB6FD6">
              <wp:simplePos x="0" y="0"/>
              <wp:positionH relativeFrom="column">
                <wp:posOffset>-405765</wp:posOffset>
              </wp:positionH>
              <wp:positionV relativeFrom="paragraph">
                <wp:posOffset>-168910</wp:posOffset>
              </wp:positionV>
              <wp:extent cx="6273800"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D635"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"/>
          </w:pict>
        </mc:Fallback>
      </mc:AlternateContent>
    </w:r>
    <w:r w:rsidRPr="007C72AC">
      <w:rPr>
        <w:rFonts w:ascii="Arial" w:hAnsi="Arial" w:cs="Arial"/>
        <w:i/>
        <w:sz w:val="16"/>
        <w:szCs w:val="16"/>
      </w:rPr>
      <w:t>Hardcopies of this document are considered uncontrolled please refer to the Council website or 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58F8" w14:textId="77777777" w:rsidR="00956C85" w:rsidRDefault="00956C85">
      <w:r>
        <w:separator/>
      </w:r>
    </w:p>
  </w:footnote>
  <w:footnote w:type="continuationSeparator" w:id="0">
    <w:p w14:paraId="70535E6D" w14:textId="77777777" w:rsidR="00956C85" w:rsidRDefault="00956C85">
      <w:r>
        <w:continuationSeparator/>
      </w:r>
    </w:p>
  </w:footnote>
  <w:footnote w:type="continuationNotice" w:id="1">
    <w:p w14:paraId="2DC54ACF" w14:textId="77777777" w:rsidR="00956C85" w:rsidRDefault="00956C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4491"/>
    <w:multiLevelType w:val="hybridMultilevel"/>
    <w:tmpl w:val="6DAE36B6"/>
    <w:lvl w:ilvl="0" w:tplc="F63CE128">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A1883"/>
    <w:multiLevelType w:val="hybridMultilevel"/>
    <w:tmpl w:val="A9B2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824A4"/>
    <w:multiLevelType w:val="hybridMultilevel"/>
    <w:tmpl w:val="A7A04410"/>
    <w:lvl w:ilvl="0" w:tplc="F63CE128">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17765"/>
    <w:multiLevelType w:val="hybridMultilevel"/>
    <w:tmpl w:val="5A8AF7D0"/>
    <w:lvl w:ilvl="0" w:tplc="F63CE128">
      <w:numFmt w:val="bullet"/>
      <w:lvlText w:val="•"/>
      <w:lvlJc w:val="left"/>
      <w:pPr>
        <w:ind w:left="1080" w:hanging="360"/>
      </w:pPr>
      <w:rPr>
        <w:rFonts w:ascii="SymbolMT" w:eastAsia="SymbolMT" w:hAnsi="Arial"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9018A4"/>
    <w:multiLevelType w:val="hybridMultilevel"/>
    <w:tmpl w:val="F73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E120B"/>
    <w:multiLevelType w:val="hybridMultilevel"/>
    <w:tmpl w:val="E48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251F3"/>
    <w:multiLevelType w:val="hybridMultilevel"/>
    <w:tmpl w:val="41167E5E"/>
    <w:lvl w:ilvl="0" w:tplc="F63CE128">
      <w:numFmt w:val="bullet"/>
      <w:lvlText w:val="•"/>
      <w:lvlJc w:val="left"/>
      <w:pPr>
        <w:ind w:left="1080" w:hanging="360"/>
      </w:pPr>
      <w:rPr>
        <w:rFonts w:ascii="SymbolMT" w:eastAsia="SymbolMT" w:hAnsi="Arial"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686707"/>
    <w:multiLevelType w:val="hybridMultilevel"/>
    <w:tmpl w:val="74FC5240"/>
    <w:lvl w:ilvl="0" w:tplc="F63CE128">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337BF"/>
    <w:multiLevelType w:val="hybridMultilevel"/>
    <w:tmpl w:val="AEF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4C"/>
    <w:rsid w:val="00000B2C"/>
    <w:rsid w:val="00017200"/>
    <w:rsid w:val="0004366E"/>
    <w:rsid w:val="00085AFD"/>
    <w:rsid w:val="000A7C27"/>
    <w:rsid w:val="001724F8"/>
    <w:rsid w:val="001C6B53"/>
    <w:rsid w:val="001F2E35"/>
    <w:rsid w:val="00230571"/>
    <w:rsid w:val="0029329E"/>
    <w:rsid w:val="00294938"/>
    <w:rsid w:val="002C6C88"/>
    <w:rsid w:val="002E3183"/>
    <w:rsid w:val="00335937"/>
    <w:rsid w:val="0034056C"/>
    <w:rsid w:val="003756D8"/>
    <w:rsid w:val="003F2CFC"/>
    <w:rsid w:val="00412242"/>
    <w:rsid w:val="00434396"/>
    <w:rsid w:val="00510F0B"/>
    <w:rsid w:val="00523A56"/>
    <w:rsid w:val="005A0249"/>
    <w:rsid w:val="00607B97"/>
    <w:rsid w:val="006B0BF8"/>
    <w:rsid w:val="007413F6"/>
    <w:rsid w:val="007431E6"/>
    <w:rsid w:val="007753AF"/>
    <w:rsid w:val="007C2F4C"/>
    <w:rsid w:val="008446C4"/>
    <w:rsid w:val="008742F9"/>
    <w:rsid w:val="008F7E65"/>
    <w:rsid w:val="00956C85"/>
    <w:rsid w:val="00974696"/>
    <w:rsid w:val="00A400F6"/>
    <w:rsid w:val="00A528CA"/>
    <w:rsid w:val="00AB6AE1"/>
    <w:rsid w:val="00AF1131"/>
    <w:rsid w:val="00B055D4"/>
    <w:rsid w:val="00BC30A5"/>
    <w:rsid w:val="00BE099E"/>
    <w:rsid w:val="00CE4C86"/>
    <w:rsid w:val="00CE7513"/>
    <w:rsid w:val="00D221EC"/>
    <w:rsid w:val="00D669C9"/>
    <w:rsid w:val="00DD6412"/>
    <w:rsid w:val="00E90040"/>
    <w:rsid w:val="00EF64F9"/>
    <w:rsid w:val="00F30986"/>
    <w:rsid w:val="00F9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A9C929"/>
  <w15:chartTrackingRefBased/>
  <w15:docId w15:val="{A26CCF6D-95BA-4BC4-B9FD-442D6FB0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rsid w:val="000A7C2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F2E3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customStyle="1" w:styleId="DocumentTitle">
    <w:name w:val="Document Title"/>
    <w:basedOn w:val="Normal"/>
    <w:rsid w:val="005A0249"/>
    <w:pPr>
      <w:widowControl/>
      <w:jc w:val="both"/>
    </w:pPr>
    <w:rPr>
      <w:rFonts w:ascii="Arial" w:hAnsi="Arial"/>
      <w:b/>
      <w:snapToGrid/>
      <w:sz w:val="36"/>
      <w:szCs w:val="32"/>
      <w:lang w:val="en-AU" w:eastAsia="en-AU"/>
    </w:rPr>
  </w:style>
  <w:style w:type="paragraph" w:styleId="TOC1">
    <w:name w:val="toc 1"/>
    <w:basedOn w:val="Normal"/>
    <w:next w:val="Normal"/>
    <w:autoRedefine/>
    <w:uiPriority w:val="39"/>
    <w:rsid w:val="008742F9"/>
    <w:pPr>
      <w:widowControl/>
      <w:tabs>
        <w:tab w:val="right" w:leader="dot" w:pos="9343"/>
      </w:tabs>
      <w:spacing w:before="120" w:after="120" w:line="480" w:lineRule="auto"/>
    </w:pPr>
    <w:rPr>
      <w:rFonts w:ascii="Arial" w:hAnsi="Arial" w:cs="Arial"/>
      <w:b/>
      <w:noProof/>
      <w:snapToGrid/>
      <w:szCs w:val="24"/>
      <w:lang w:val="en-GB" w:eastAsia="en-GB"/>
    </w:rPr>
  </w:style>
  <w:style w:type="paragraph" w:styleId="Header">
    <w:name w:val="header"/>
    <w:basedOn w:val="Normal"/>
    <w:rsid w:val="00000B2C"/>
    <w:pPr>
      <w:tabs>
        <w:tab w:val="center" w:pos="4153"/>
        <w:tab w:val="right" w:pos="8306"/>
      </w:tabs>
    </w:pPr>
  </w:style>
  <w:style w:type="paragraph" w:styleId="Footer">
    <w:name w:val="footer"/>
    <w:basedOn w:val="Normal"/>
    <w:rsid w:val="00000B2C"/>
    <w:pPr>
      <w:tabs>
        <w:tab w:val="center" w:pos="4153"/>
        <w:tab w:val="right" w:pos="8306"/>
      </w:tabs>
    </w:pPr>
  </w:style>
  <w:style w:type="character" w:customStyle="1" w:styleId="Heading1Char">
    <w:name w:val="Heading 1 Char"/>
    <w:link w:val="Heading1"/>
    <w:rsid w:val="000A7C27"/>
    <w:rPr>
      <w:rFonts w:ascii="Cambria" w:eastAsia="Times New Roman" w:hAnsi="Cambria" w:cs="Times New Roman"/>
      <w:b/>
      <w:bCs/>
      <w:snapToGrid w:val="0"/>
      <w:kern w:val="32"/>
      <w:sz w:val="32"/>
      <w:szCs w:val="32"/>
      <w:lang w:val="en-US" w:eastAsia="en-US"/>
    </w:rPr>
  </w:style>
  <w:style w:type="character" w:customStyle="1" w:styleId="Heading4Char">
    <w:name w:val="Heading 4 Char"/>
    <w:link w:val="Heading4"/>
    <w:semiHidden/>
    <w:rsid w:val="001F2E35"/>
    <w:rPr>
      <w:rFonts w:ascii="Calibri" w:eastAsia="Times New Roman" w:hAnsi="Calibri" w:cs="Times New Roman"/>
      <w:b/>
      <w:bCs/>
      <w:snapToGrid w:val="0"/>
      <w:sz w:val="28"/>
      <w:szCs w:val="28"/>
      <w:lang w:val="en-US" w:eastAsia="en-US"/>
    </w:rPr>
  </w:style>
  <w:style w:type="paragraph" w:styleId="BalloonText">
    <w:name w:val="Balloon Text"/>
    <w:basedOn w:val="Normal"/>
    <w:link w:val="BalloonTextChar"/>
    <w:rsid w:val="008742F9"/>
    <w:rPr>
      <w:rFonts w:ascii="Tahoma" w:hAnsi="Tahoma" w:cs="Tahoma"/>
      <w:sz w:val="16"/>
      <w:szCs w:val="16"/>
    </w:rPr>
  </w:style>
  <w:style w:type="character" w:customStyle="1" w:styleId="BalloonTextChar">
    <w:name w:val="Balloon Text Char"/>
    <w:link w:val="BalloonText"/>
    <w:rsid w:val="008742F9"/>
    <w:rPr>
      <w:rFonts w:ascii="Tahoma" w:hAnsi="Tahoma" w:cs="Tahoma"/>
      <w:snapToGrid w:val="0"/>
      <w:sz w:val="16"/>
      <w:szCs w:val="16"/>
      <w:lang w:val="en-US" w:eastAsia="en-US"/>
    </w:rPr>
  </w:style>
  <w:style w:type="paragraph" w:styleId="ListParagraph">
    <w:name w:val="List Paragraph"/>
    <w:basedOn w:val="Normal"/>
    <w:uiPriority w:val="34"/>
    <w:qFormat/>
    <w:rsid w:val="00D669C9"/>
    <w:pPr>
      <w:ind w:left="720"/>
      <w:contextualSpacing/>
    </w:pPr>
  </w:style>
  <w:style w:type="character" w:styleId="Emphasis">
    <w:name w:val="Emphasis"/>
    <w:basedOn w:val="DefaultParagraphFont"/>
    <w:qFormat/>
    <w:rsid w:val="00F30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7458">
      <w:bodyDiv w:val="1"/>
      <w:marLeft w:val="0"/>
      <w:marRight w:val="0"/>
      <w:marTop w:val="0"/>
      <w:marBottom w:val="0"/>
      <w:divBdr>
        <w:top w:val="none" w:sz="0" w:space="0" w:color="auto"/>
        <w:left w:val="none" w:sz="0" w:space="0" w:color="auto"/>
        <w:bottom w:val="none" w:sz="0" w:space="0" w:color="auto"/>
        <w:right w:val="none" w:sz="0" w:space="0" w:color="auto"/>
      </w:divBdr>
      <w:divsChild>
        <w:div w:id="1783497849">
          <w:marLeft w:val="0"/>
          <w:marRight w:val="0"/>
          <w:marTop w:val="0"/>
          <w:marBottom w:val="0"/>
          <w:divBdr>
            <w:top w:val="none" w:sz="0" w:space="0" w:color="auto"/>
            <w:left w:val="none" w:sz="0" w:space="0" w:color="auto"/>
            <w:bottom w:val="none" w:sz="0" w:space="0" w:color="auto"/>
            <w:right w:val="none" w:sz="0" w:space="0" w:color="auto"/>
          </w:divBdr>
          <w:divsChild>
            <w:div w:id="906843418">
              <w:marLeft w:val="0"/>
              <w:marRight w:val="0"/>
              <w:marTop w:val="0"/>
              <w:marBottom w:val="0"/>
              <w:divBdr>
                <w:top w:val="none" w:sz="0" w:space="0" w:color="auto"/>
                <w:left w:val="none" w:sz="0" w:space="0" w:color="auto"/>
                <w:bottom w:val="none" w:sz="0" w:space="0" w:color="auto"/>
                <w:right w:val="none" w:sz="0" w:space="0" w:color="auto"/>
              </w:divBdr>
              <w:divsChild>
                <w:div w:id="53893464">
                  <w:marLeft w:val="0"/>
                  <w:marRight w:val="0"/>
                  <w:marTop w:val="0"/>
                  <w:marBottom w:val="0"/>
                  <w:divBdr>
                    <w:top w:val="none" w:sz="0" w:space="0" w:color="auto"/>
                    <w:left w:val="none" w:sz="0" w:space="0" w:color="auto"/>
                    <w:bottom w:val="none" w:sz="0" w:space="0" w:color="auto"/>
                    <w:right w:val="none" w:sz="0" w:space="0" w:color="auto"/>
                  </w:divBdr>
                  <w:divsChild>
                    <w:div w:id="693459471">
                      <w:marLeft w:val="0"/>
                      <w:marRight w:val="0"/>
                      <w:marTop w:val="0"/>
                      <w:marBottom w:val="0"/>
                      <w:divBdr>
                        <w:top w:val="none" w:sz="0" w:space="0" w:color="auto"/>
                        <w:left w:val="none" w:sz="0" w:space="0" w:color="auto"/>
                        <w:bottom w:val="none" w:sz="0" w:space="0" w:color="auto"/>
                        <w:right w:val="none" w:sz="0" w:space="0" w:color="auto"/>
                      </w:divBdr>
                      <w:divsChild>
                        <w:div w:id="727916167">
                          <w:marLeft w:val="0"/>
                          <w:marRight w:val="0"/>
                          <w:marTop w:val="0"/>
                          <w:marBottom w:val="0"/>
                          <w:divBdr>
                            <w:top w:val="none" w:sz="0" w:space="0" w:color="auto"/>
                            <w:left w:val="none" w:sz="0" w:space="0" w:color="auto"/>
                            <w:bottom w:val="none" w:sz="0" w:space="0" w:color="auto"/>
                            <w:right w:val="none" w:sz="0" w:space="0" w:color="auto"/>
                          </w:divBdr>
                          <w:divsChild>
                            <w:div w:id="5296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5C4A2-D58C-4EEF-8612-25D8DE303ADE}">
  <ds:schemaRefs>
    <ds:schemaRef ds:uri="http://schemas.microsoft.com/sharepoint/v3/contenttype/forms"/>
  </ds:schemaRefs>
</ds:datastoreItem>
</file>

<file path=customXml/itemProps2.xml><?xml version="1.0" encoding="utf-8"?>
<ds:datastoreItem xmlns:ds="http://schemas.openxmlformats.org/officeDocument/2006/customXml" ds:itemID="{92F2FB63-D51D-474F-ADCF-B72F777DB4DA}">
  <ds:schemaRefs>
    <ds:schemaRef ds:uri="http://schemas.microsoft.com/sharepoint/events"/>
  </ds:schemaRefs>
</ds:datastoreItem>
</file>

<file path=customXml/itemProps3.xml><?xml version="1.0" encoding="utf-8"?>
<ds:datastoreItem xmlns:ds="http://schemas.openxmlformats.org/officeDocument/2006/customXml" ds:itemID="{4CDC340D-C0FC-4D22-81F3-84C0E043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Stockport MBC  -   Education Division</vt:lpstr>
    </vt:vector>
  </TitlesOfParts>
  <Company>SMBC</Company>
  <LinksUpToDate>false</LinksUpToDate>
  <CharactersWithSpaces>7794</CharactersWithSpaces>
  <SharedDoc>false</SharedDoc>
  <HLinks>
    <vt:vector size="54" baseType="variant">
      <vt:variant>
        <vt:i4>1114170</vt:i4>
      </vt:variant>
      <vt:variant>
        <vt:i4>50</vt:i4>
      </vt:variant>
      <vt:variant>
        <vt:i4>0</vt:i4>
      </vt:variant>
      <vt:variant>
        <vt:i4>5</vt:i4>
      </vt:variant>
      <vt:variant>
        <vt:lpwstr/>
      </vt:variant>
      <vt:variant>
        <vt:lpwstr>_Toc332024915</vt:lpwstr>
      </vt:variant>
      <vt:variant>
        <vt:i4>1114170</vt:i4>
      </vt:variant>
      <vt:variant>
        <vt:i4>44</vt:i4>
      </vt:variant>
      <vt:variant>
        <vt:i4>0</vt:i4>
      </vt:variant>
      <vt:variant>
        <vt:i4>5</vt:i4>
      </vt:variant>
      <vt:variant>
        <vt:lpwstr/>
      </vt:variant>
      <vt:variant>
        <vt:lpwstr>_Toc332024914</vt:lpwstr>
      </vt:variant>
      <vt:variant>
        <vt:i4>1114170</vt:i4>
      </vt:variant>
      <vt:variant>
        <vt:i4>38</vt:i4>
      </vt:variant>
      <vt:variant>
        <vt:i4>0</vt:i4>
      </vt:variant>
      <vt:variant>
        <vt:i4>5</vt:i4>
      </vt:variant>
      <vt:variant>
        <vt:lpwstr/>
      </vt:variant>
      <vt:variant>
        <vt:lpwstr>_Toc332024913</vt:lpwstr>
      </vt:variant>
      <vt:variant>
        <vt:i4>1114170</vt:i4>
      </vt:variant>
      <vt:variant>
        <vt:i4>32</vt:i4>
      </vt:variant>
      <vt:variant>
        <vt:i4>0</vt:i4>
      </vt:variant>
      <vt:variant>
        <vt:i4>5</vt:i4>
      </vt:variant>
      <vt:variant>
        <vt:lpwstr/>
      </vt:variant>
      <vt:variant>
        <vt:lpwstr>_Toc332024912</vt:lpwstr>
      </vt:variant>
      <vt:variant>
        <vt:i4>1114170</vt:i4>
      </vt:variant>
      <vt:variant>
        <vt:i4>26</vt:i4>
      </vt:variant>
      <vt:variant>
        <vt:i4>0</vt:i4>
      </vt:variant>
      <vt:variant>
        <vt:i4>5</vt:i4>
      </vt:variant>
      <vt:variant>
        <vt:lpwstr/>
      </vt:variant>
      <vt:variant>
        <vt:lpwstr>_Toc332024911</vt:lpwstr>
      </vt:variant>
      <vt:variant>
        <vt:i4>1114170</vt:i4>
      </vt:variant>
      <vt:variant>
        <vt:i4>20</vt:i4>
      </vt:variant>
      <vt:variant>
        <vt:i4>0</vt:i4>
      </vt:variant>
      <vt:variant>
        <vt:i4>5</vt:i4>
      </vt:variant>
      <vt:variant>
        <vt:lpwstr/>
      </vt:variant>
      <vt:variant>
        <vt:lpwstr>_Toc332024910</vt:lpwstr>
      </vt:variant>
      <vt:variant>
        <vt:i4>1048634</vt:i4>
      </vt:variant>
      <vt:variant>
        <vt:i4>14</vt:i4>
      </vt:variant>
      <vt:variant>
        <vt:i4>0</vt:i4>
      </vt:variant>
      <vt:variant>
        <vt:i4>5</vt:i4>
      </vt:variant>
      <vt:variant>
        <vt:lpwstr/>
      </vt:variant>
      <vt:variant>
        <vt:lpwstr>_Toc332024907</vt:lpwstr>
      </vt:variant>
      <vt:variant>
        <vt:i4>1048634</vt:i4>
      </vt:variant>
      <vt:variant>
        <vt:i4>8</vt:i4>
      </vt:variant>
      <vt:variant>
        <vt:i4>0</vt:i4>
      </vt:variant>
      <vt:variant>
        <vt:i4>5</vt:i4>
      </vt:variant>
      <vt:variant>
        <vt:lpwstr/>
      </vt:variant>
      <vt:variant>
        <vt:lpwstr>_Toc332024909</vt:lpwstr>
      </vt:variant>
      <vt:variant>
        <vt:i4>1048634</vt:i4>
      </vt:variant>
      <vt:variant>
        <vt:i4>2</vt:i4>
      </vt:variant>
      <vt:variant>
        <vt:i4>0</vt:i4>
      </vt:variant>
      <vt:variant>
        <vt:i4>5</vt:i4>
      </vt:variant>
      <vt:variant>
        <vt:lpwstr/>
      </vt:variant>
      <vt:variant>
        <vt:lpwstr>_Toc332024908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Stockport MBC  -   Education Division</dc:title>
  <dc:subject/>
  <dc:creator>CEmha</dc:creator>
  <cp:keywords/>
  <cp:lastModifiedBy>Paul V. Garner</cp:lastModifiedBy>
  <cp:revision>8</cp:revision>
  <cp:lastPrinted>2015-10-13T14:19:00Z</cp:lastPrinted>
  <dcterms:created xsi:type="dcterms:W3CDTF">2021-10-15T11:54:00Z</dcterms:created>
  <dcterms:modified xsi:type="dcterms:W3CDTF">2021-10-18T08:51:00Z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